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:rsidR="00675326" w:rsidRPr="006349AC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Grundbucha</w:t>
      </w:r>
      <w:r w:rsidR="00675326" w:rsidRPr="006349AC">
        <w:rPr>
          <w:rFonts w:ascii="Arial" w:hAnsi="Arial"/>
          <w:b/>
          <w:color w:val="auto"/>
          <w:sz w:val="44"/>
          <w:szCs w:val="44"/>
        </w:rPr>
        <w:t>nmeldung</w:t>
      </w:r>
      <w:r w:rsidR="005B5AC8">
        <w:rPr>
          <w:rFonts w:ascii="Arial" w:hAnsi="Arial"/>
          <w:b/>
          <w:color w:val="auto"/>
          <w:sz w:val="44"/>
          <w:szCs w:val="44"/>
        </w:rPr>
        <w:br/>
      </w:r>
      <w:r w:rsidR="005B5AC8" w:rsidRPr="005B5AC8">
        <w:rPr>
          <w:rFonts w:ascii="Arial" w:hAnsi="Arial"/>
          <w:color w:val="auto"/>
          <w:sz w:val="32"/>
          <w:szCs w:val="44"/>
        </w:rPr>
        <w:t>(für Überbauungspflicht bei Einzonungen)</w:t>
      </w:r>
    </w:p>
    <w:p w:rsidR="00A23021" w:rsidRPr="00E57083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Es wird </w:t>
      </w:r>
      <w:r>
        <w:rPr>
          <w:rFonts w:ascii="Arial" w:hAnsi="Arial" w:cs="Arial"/>
          <w:sz w:val="22"/>
          <w:szCs w:val="22"/>
        </w:rPr>
        <w:t xml:space="preserve">beim </w:t>
      </w:r>
      <w:r w:rsidRPr="00E57083">
        <w:rPr>
          <w:rFonts w:ascii="Arial" w:hAnsi="Arial" w:cs="Arial"/>
          <w:sz w:val="22"/>
          <w:szCs w:val="22"/>
        </w:rPr>
        <w:t>Grundbuch</w:t>
      </w:r>
      <w:r>
        <w:rPr>
          <w:rFonts w:ascii="Arial" w:hAnsi="Arial" w:cs="Arial"/>
          <w:sz w:val="22"/>
          <w:szCs w:val="22"/>
        </w:rPr>
        <w:t>amt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nhand folgender Akten angemeldet:</w:t>
      </w:r>
    </w:p>
    <w:p w:rsidR="00A23021" w:rsidRDefault="00A23021" w:rsidP="00A23021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Genehmigungs</w:t>
      </w:r>
      <w:r w:rsidR="005B5AC8">
        <w:rPr>
          <w:rFonts w:ascii="Arial" w:hAnsi="Arial" w:cs="Arial"/>
          <w:sz w:val="22"/>
          <w:szCs w:val="22"/>
        </w:rPr>
        <w:t>beschluss</w:t>
      </w:r>
      <w:r>
        <w:rPr>
          <w:rFonts w:ascii="Arial" w:hAnsi="Arial" w:cs="Arial"/>
          <w:sz w:val="22"/>
          <w:szCs w:val="22"/>
        </w:rPr>
        <w:t xml:space="preserve"> der Regierung, RB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vom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in Sachen [</w:t>
      </w:r>
      <w:r w:rsidRPr="004468F5">
        <w:rPr>
          <w:rFonts w:ascii="Arial" w:hAnsi="Arial" w:cs="Arial"/>
          <w:sz w:val="22"/>
          <w:szCs w:val="22"/>
          <w:highlight w:val="lightGray"/>
        </w:rPr>
        <w:t>Ortsplanung</w:t>
      </w:r>
      <w:r>
        <w:rPr>
          <w:rFonts w:ascii="Arial" w:hAnsi="Arial" w:cs="Arial"/>
          <w:sz w:val="22"/>
          <w:szCs w:val="22"/>
          <w:highlight w:val="lightGray"/>
        </w:rPr>
        <w:t>sre</w:t>
      </w:r>
      <w:r w:rsidRPr="004468F5">
        <w:rPr>
          <w:rFonts w:ascii="Arial" w:hAnsi="Arial" w:cs="Arial"/>
          <w:sz w:val="22"/>
          <w:szCs w:val="22"/>
          <w:highlight w:val="lightGray"/>
        </w:rPr>
        <w:t>vision …</w:t>
      </w:r>
      <w:r>
        <w:rPr>
          <w:rFonts w:ascii="Arial" w:hAnsi="Arial" w:cs="Arial"/>
          <w:sz w:val="22"/>
          <w:szCs w:val="22"/>
        </w:rPr>
        <w:t xml:space="preserve">], mit Rechtskraftbestätigung </w:t>
      </w:r>
    </w:p>
    <w:p w:rsidR="00A23021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E57083"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</w:t>
      </w:r>
      <w:r w:rsidRPr="00E57083">
        <w:rPr>
          <w:rFonts w:ascii="Arial" w:hAnsi="Arial" w:cs="Arial"/>
          <w:sz w:val="22"/>
          <w:szCs w:val="22"/>
        </w:rPr>
        <w:t xml:space="preserve">Anmerkung der </w:t>
      </w:r>
      <w:r>
        <w:rPr>
          <w:rFonts w:ascii="Arial" w:hAnsi="Arial" w:cs="Arial"/>
          <w:sz w:val="22"/>
          <w:szCs w:val="22"/>
        </w:rPr>
        <w:t xml:space="preserve">gesetzlichen </w:t>
      </w:r>
      <w:r w:rsidR="001109F9" w:rsidRPr="00E57083">
        <w:rPr>
          <w:rFonts w:ascii="Arial" w:hAnsi="Arial" w:cs="Arial"/>
          <w:sz w:val="22"/>
          <w:szCs w:val="22"/>
        </w:rPr>
        <w:t>Überbauungs</w:t>
      </w:r>
      <w:r w:rsidR="001109F9">
        <w:rPr>
          <w:rFonts w:ascii="Arial" w:hAnsi="Arial" w:cs="Arial"/>
          <w:sz w:val="22"/>
          <w:szCs w:val="22"/>
        </w:rPr>
        <w:t>pflicht</w:t>
      </w:r>
      <w:r w:rsidR="001109F9" w:rsidRPr="00E57083">
        <w:rPr>
          <w:rFonts w:ascii="Arial" w:hAnsi="Arial" w:cs="Arial"/>
          <w:sz w:val="22"/>
          <w:szCs w:val="22"/>
        </w:rPr>
        <w:t xml:space="preserve"> </w:t>
      </w:r>
      <w:r w:rsidR="005B5AC8">
        <w:rPr>
          <w:rFonts w:ascii="Arial" w:hAnsi="Arial" w:cs="Arial"/>
          <w:sz w:val="22"/>
          <w:szCs w:val="22"/>
        </w:rPr>
        <w:t xml:space="preserve">infolge Einzonung </w:t>
      </w:r>
      <w:r w:rsidRPr="00E57083">
        <w:rPr>
          <w:rFonts w:ascii="Arial" w:hAnsi="Arial" w:cs="Arial"/>
          <w:sz w:val="22"/>
          <w:szCs w:val="22"/>
        </w:rPr>
        <w:t>bis zum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E57083">
        <w:rPr>
          <w:rFonts w:ascii="Arial" w:hAnsi="Arial" w:cs="Arial"/>
          <w:sz w:val="22"/>
          <w:szCs w:val="22"/>
        </w:rPr>
        <w:t>(Art. 19</w:t>
      </w:r>
      <w:r>
        <w:rPr>
          <w:rFonts w:ascii="Arial" w:hAnsi="Arial" w:cs="Arial"/>
          <w:sz w:val="22"/>
          <w:szCs w:val="22"/>
        </w:rPr>
        <w:t>c</w:t>
      </w:r>
      <w:r w:rsidRPr="00E57083">
        <w:rPr>
          <w:rFonts w:ascii="Arial" w:hAnsi="Arial" w:cs="Arial"/>
          <w:sz w:val="22"/>
          <w:szCs w:val="22"/>
        </w:rPr>
        <w:t xml:space="preserve"> KRG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i.V.m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[</w:t>
      </w:r>
      <w:r w:rsidRPr="004468F5">
        <w:rPr>
          <w:rFonts w:ascii="Arial" w:hAnsi="Arial" w:cs="Arial"/>
          <w:sz w:val="22"/>
          <w:szCs w:val="22"/>
          <w:highlight w:val="lightGray"/>
        </w:rPr>
        <w:t>Art. … BauG und</w:t>
      </w:r>
      <w:r>
        <w:rPr>
          <w:rFonts w:ascii="Arial" w:hAnsi="Arial" w:cs="Arial"/>
          <w:sz w:val="22"/>
          <w:szCs w:val="22"/>
        </w:rPr>
        <w:t xml:space="preserve">] </w:t>
      </w:r>
      <w:r w:rsidRPr="00E57083">
        <w:rPr>
          <w:rFonts w:ascii="Arial" w:hAnsi="Arial" w:cs="Arial"/>
          <w:sz w:val="22"/>
          <w:szCs w:val="22"/>
        </w:rPr>
        <w:t xml:space="preserve">Art. 19w </w:t>
      </w:r>
      <w:r>
        <w:rPr>
          <w:rFonts w:ascii="Arial" w:hAnsi="Arial" w:cs="Arial"/>
          <w:sz w:val="22"/>
          <w:szCs w:val="22"/>
        </w:rPr>
        <w:t xml:space="preserve">Abs. 2 Ziff. 2 KRG) </w:t>
      </w:r>
    </w:p>
    <w:p w:rsidR="00A23021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dem Grundstück Nr.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], Gemeinde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im Eigentum von [</w:t>
      </w:r>
      <w:r w:rsidRPr="006A4045">
        <w:rPr>
          <w:rFonts w:ascii="Arial" w:hAnsi="Arial" w:cs="Arial"/>
          <w:sz w:val="22"/>
          <w:szCs w:val="22"/>
          <w:highlight w:val="lightGray"/>
        </w:rPr>
        <w:t>Herr/Frau …</w:t>
      </w:r>
      <w:r>
        <w:rPr>
          <w:rFonts w:ascii="Arial" w:hAnsi="Arial" w:cs="Arial"/>
          <w:sz w:val="22"/>
          <w:szCs w:val="22"/>
        </w:rPr>
        <w:t>]</w:t>
      </w:r>
    </w:p>
    <w:p w:rsidR="00A23021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Das Grundbuchamt wird beauftragt und ermächtigt, die Anmerkung </w:t>
      </w:r>
      <w:proofErr w:type="spellStart"/>
      <w:r w:rsidRPr="00E57083">
        <w:rPr>
          <w:rFonts w:ascii="Arial" w:hAnsi="Arial" w:cs="Arial"/>
          <w:sz w:val="22"/>
          <w:szCs w:val="22"/>
        </w:rPr>
        <w:t>grundbuchlich</w:t>
      </w:r>
      <w:proofErr w:type="spellEnd"/>
      <w:r w:rsidRPr="00E57083">
        <w:rPr>
          <w:rFonts w:ascii="Arial" w:hAnsi="Arial" w:cs="Arial"/>
          <w:sz w:val="22"/>
          <w:szCs w:val="22"/>
        </w:rPr>
        <w:t xml:space="preserve"> unmittelbar zu vollziehen.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Ort</w:t>
      </w:r>
      <w:r w:rsidRPr="00E57083">
        <w:rPr>
          <w:rFonts w:ascii="Arial" w:hAnsi="Arial" w:cs="Arial"/>
          <w:sz w:val="22"/>
          <w:szCs w:val="22"/>
        </w:rPr>
        <w:t>], den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Für die Gemeinde [</w:t>
      </w:r>
      <w:r w:rsidRPr="00E57083">
        <w:rPr>
          <w:rFonts w:ascii="Arial" w:hAnsi="Arial" w:cs="Arial"/>
          <w:sz w:val="22"/>
          <w:szCs w:val="22"/>
          <w:highlight w:val="lightGray"/>
        </w:rPr>
        <w:t>…</w:t>
      </w:r>
      <w:r w:rsidRPr="00E57083">
        <w:rPr>
          <w:rFonts w:ascii="Arial" w:hAnsi="Arial" w:cs="Arial"/>
          <w:sz w:val="22"/>
          <w:szCs w:val="22"/>
        </w:rPr>
        <w:t xml:space="preserve">] 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……………………………………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……………………………………</w:t>
      </w:r>
    </w:p>
    <w:p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</w:p>
    <w:p w:rsidR="00A23021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:rsidR="00A23021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Grundbuchanmeldung für die gesetzliche </w:t>
      </w:r>
      <w:r w:rsidR="001109F9">
        <w:rPr>
          <w:rFonts w:ascii="Arial" w:eastAsiaTheme="minorHAnsi" w:hAnsi="Arial" w:cs="Arial"/>
          <w:sz w:val="22"/>
          <w:szCs w:val="22"/>
          <w:lang w:eastAsia="en-US"/>
        </w:rPr>
        <w:t>Überbauungspflicht</w:t>
      </w:r>
      <w:r w:rsidR="001109F9"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E2A7C">
        <w:rPr>
          <w:rFonts w:ascii="Arial" w:eastAsiaTheme="minorHAnsi" w:hAnsi="Arial" w:cs="Arial"/>
          <w:sz w:val="22"/>
          <w:szCs w:val="22"/>
          <w:lang w:eastAsia="en-US"/>
        </w:rPr>
        <w:t>bei Einzonungen</w:t>
      </w:r>
      <w:r w:rsidR="009E2A7C"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E2A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A23021">
        <w:rPr>
          <w:rFonts w:ascii="Arial" w:eastAsiaTheme="minorHAnsi" w:hAnsi="Arial" w:cs="Arial"/>
          <w:sz w:val="22"/>
          <w:szCs w:val="22"/>
          <w:lang w:eastAsia="en-US"/>
        </w:rPr>
        <w:t>Art. 19c KRG</w:t>
      </w:r>
      <w:r w:rsidR="009E2A7C">
        <w:rPr>
          <w:rFonts w:ascii="Arial" w:eastAsiaTheme="minorHAnsi" w:hAnsi="Arial" w:cs="Arial"/>
          <w:sz w:val="22"/>
          <w:szCs w:val="22"/>
          <w:lang w:eastAsia="en-US"/>
        </w:rPr>
        <w:t>) nach Art. 19w Abs. 2 Ziff. 2 KRG</w:t>
      </w:r>
      <w:r w:rsidRPr="00A2302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Diese Vorlage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p w:rsidR="00B87640" w:rsidRPr="00A23021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  <w:bookmarkStart w:id="0" w:name="_GoBack"/>
      <w:bookmarkEnd w:id="0"/>
    </w:p>
    <w:sectPr w:rsidR="00B87640" w:rsidRPr="00A23021" w:rsidSect="006F6B93">
      <w:headerReference w:type="first" r:id="rId7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422" w:rsidRDefault="00082422">
      <w:r>
        <w:separator/>
      </w:r>
    </w:p>
  </w:endnote>
  <w:endnote w:type="continuationSeparator" w:id="0">
    <w:p w:rsidR="00082422" w:rsidRDefault="0008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422" w:rsidRDefault="00082422">
      <w:r>
        <w:separator/>
      </w:r>
    </w:p>
  </w:footnote>
  <w:footnote w:type="continuationSeparator" w:id="0">
    <w:p w:rsidR="00082422" w:rsidRDefault="000824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40" w:rsidRPr="005B5AC8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5B5AC8">
      <w:rPr>
        <w:rFonts w:ascii="Arial" w:eastAsiaTheme="minorHAnsi" w:hAnsi="Arial" w:cs="Arial"/>
        <w:b/>
        <w:szCs w:val="16"/>
        <w:lang w:eastAsia="en-US"/>
      </w:rPr>
      <w:t>Vollzugshilfe Gb3</w:t>
    </w:r>
  </w:p>
  <w:p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>Amt für Raumentwicklung Graubünden, Version Stand 30.01.2020</w:t>
    </w:r>
  </w:p>
  <w:p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7"/>
  </w:num>
  <w:num w:numId="5">
    <w:abstractNumId w:val="19"/>
  </w:num>
  <w:num w:numId="6">
    <w:abstractNumId w:val="23"/>
  </w:num>
  <w:num w:numId="7">
    <w:abstractNumId w:val="6"/>
  </w:num>
  <w:num w:numId="8">
    <w:abstractNumId w:val="2"/>
  </w:num>
  <w:num w:numId="9">
    <w:abstractNumId w:val="2"/>
  </w:num>
  <w:num w:numId="10">
    <w:abstractNumId w:val="14"/>
  </w:num>
  <w:num w:numId="11">
    <w:abstractNumId w:val="22"/>
  </w:num>
  <w:num w:numId="12">
    <w:abstractNumId w:val="8"/>
  </w:num>
  <w:num w:numId="13">
    <w:abstractNumId w:val="2"/>
  </w:num>
  <w:num w:numId="14">
    <w:abstractNumId w:val="2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7"/>
  </w:num>
  <w:num w:numId="22">
    <w:abstractNumId w:val="21"/>
    <w:lvlOverride w:ilvl="0">
      <w:startOverride w:val="5"/>
    </w:lvlOverride>
  </w:num>
  <w:num w:numId="23">
    <w:abstractNumId w:val="15"/>
  </w:num>
  <w:num w:numId="24">
    <w:abstractNumId w:val="1"/>
  </w:num>
  <w:num w:numId="25">
    <w:abstractNumId w:val="0"/>
  </w:num>
  <w:num w:numId="26">
    <w:abstractNumId w:val="5"/>
  </w:num>
  <w:num w:numId="27">
    <w:abstractNumId w:val="10"/>
  </w:num>
  <w:num w:numId="28">
    <w:abstractNumId w:val="13"/>
  </w:num>
  <w:num w:numId="29">
    <w:abstractNumId w:val="12"/>
  </w:num>
  <w:num w:numId="3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2"/>
    <w:rsid w:val="000575C3"/>
    <w:rsid w:val="00082422"/>
    <w:rsid w:val="00082DFB"/>
    <w:rsid w:val="001109F9"/>
    <w:rsid w:val="00202DC0"/>
    <w:rsid w:val="00290B7E"/>
    <w:rsid w:val="002B5083"/>
    <w:rsid w:val="00323843"/>
    <w:rsid w:val="00324D22"/>
    <w:rsid w:val="0039271A"/>
    <w:rsid w:val="00393F38"/>
    <w:rsid w:val="003A7B39"/>
    <w:rsid w:val="003D2115"/>
    <w:rsid w:val="003D365A"/>
    <w:rsid w:val="004468F5"/>
    <w:rsid w:val="0049385D"/>
    <w:rsid w:val="004F01DC"/>
    <w:rsid w:val="00572DEF"/>
    <w:rsid w:val="00595F04"/>
    <w:rsid w:val="005A2E75"/>
    <w:rsid w:val="005B5AC8"/>
    <w:rsid w:val="005E2BDA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93E86"/>
    <w:rsid w:val="008C1FB6"/>
    <w:rsid w:val="0091730A"/>
    <w:rsid w:val="0097467D"/>
    <w:rsid w:val="009A14B3"/>
    <w:rsid w:val="009D55FF"/>
    <w:rsid w:val="009E2A7C"/>
    <w:rsid w:val="00A23021"/>
    <w:rsid w:val="00A85872"/>
    <w:rsid w:val="00A86A05"/>
    <w:rsid w:val="00A9033F"/>
    <w:rsid w:val="00AD466C"/>
    <w:rsid w:val="00AE0CF5"/>
    <w:rsid w:val="00B46B0C"/>
    <w:rsid w:val="00B61FBF"/>
    <w:rsid w:val="00B87640"/>
    <w:rsid w:val="00BC0225"/>
    <w:rsid w:val="00C12274"/>
    <w:rsid w:val="00CD23A2"/>
    <w:rsid w:val="00CF10B3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F42F3D"/>
    <w:rsid w:val="00F50D37"/>
    <w:rsid w:val="00F80BA5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."/>
  <w:listSeparator w:val=";"/>
  <w14:docId w14:val="0594C267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90BA0D-F153-4D17-857E-700C19126E92}"/>
</file>

<file path=customXml/itemProps2.xml><?xml version="1.0" encoding="utf-8"?>
<ds:datastoreItem xmlns:ds="http://schemas.openxmlformats.org/officeDocument/2006/customXml" ds:itemID="{9187FFB2-81AD-4B1A-91DD-E6FDEB296FBB}"/>
</file>

<file path=customXml/itemProps3.xml><?xml version="1.0" encoding="utf-8"?>
<ds:datastoreItem xmlns:ds="http://schemas.openxmlformats.org/officeDocument/2006/customXml" ds:itemID="{D52FDAA4-1724-4D1E-9529-65B853DB282C}"/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158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(für Überbauungspflicht bei Einzonungen)_docx</dc:title>
  <dc:creator>Corina Caluori</dc:creator>
  <cp:lastModifiedBy>Broder Toni</cp:lastModifiedBy>
  <cp:revision>25</cp:revision>
  <cp:lastPrinted>2019-12-12T13:42:00Z</cp:lastPrinted>
  <dcterms:created xsi:type="dcterms:W3CDTF">2019-10-22T08:37:00Z</dcterms:created>
  <dcterms:modified xsi:type="dcterms:W3CDTF">2020-01-30T19:04:00Z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