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7E" w:rsidRPr="00E57083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26137E" w:rsidRPr="00867011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Grundbucha</w:t>
      </w:r>
      <w:r w:rsidRPr="00867011">
        <w:rPr>
          <w:rFonts w:ascii="Arial" w:hAnsi="Arial"/>
          <w:b/>
          <w:sz w:val="44"/>
          <w:szCs w:val="44"/>
        </w:rPr>
        <w:t>nmeldung</w:t>
      </w:r>
      <w:r w:rsidR="00A707DF">
        <w:rPr>
          <w:rFonts w:ascii="Arial" w:hAnsi="Arial"/>
          <w:b/>
          <w:sz w:val="44"/>
          <w:szCs w:val="44"/>
        </w:rPr>
        <w:br/>
      </w:r>
      <w:r w:rsidR="00A707DF" w:rsidRPr="00A707DF">
        <w:rPr>
          <w:rFonts w:ascii="Arial" w:hAnsi="Arial"/>
          <w:sz w:val="32"/>
          <w:szCs w:val="44"/>
        </w:rPr>
        <w:t>(für befristete Ein-, Um- oder Aufzonungen)</w:t>
      </w:r>
    </w:p>
    <w:p w:rsidR="0026137E" w:rsidRPr="00E57083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:rsidR="0026137E" w:rsidRDefault="0026137E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Genehmigungs</w:t>
      </w:r>
      <w:r w:rsidR="00A707DF">
        <w:rPr>
          <w:rFonts w:ascii="Arial" w:hAnsi="Arial" w:cs="Arial"/>
          <w:sz w:val="22"/>
          <w:szCs w:val="22"/>
        </w:rPr>
        <w:t>beschluss</w:t>
      </w:r>
      <w:r>
        <w:rPr>
          <w:rFonts w:ascii="Arial" w:hAnsi="Arial" w:cs="Arial"/>
          <w:sz w:val="22"/>
          <w:szCs w:val="22"/>
        </w:rPr>
        <w:t xml:space="preserve"> der Regierung, RB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vom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in Sachen [</w:t>
      </w:r>
      <w:r w:rsidRPr="004468F5">
        <w:rPr>
          <w:rFonts w:ascii="Arial" w:hAnsi="Arial" w:cs="Arial"/>
          <w:sz w:val="22"/>
          <w:szCs w:val="22"/>
          <w:highlight w:val="lightGray"/>
        </w:rPr>
        <w:t>Ortsplanung</w:t>
      </w:r>
      <w:r>
        <w:rPr>
          <w:rFonts w:ascii="Arial" w:hAnsi="Arial" w:cs="Arial"/>
          <w:sz w:val="22"/>
          <w:szCs w:val="22"/>
          <w:highlight w:val="lightGray"/>
        </w:rPr>
        <w:t>sre</w:t>
      </w:r>
      <w:r w:rsidRPr="004468F5">
        <w:rPr>
          <w:rFonts w:ascii="Arial" w:hAnsi="Arial" w:cs="Arial"/>
          <w:sz w:val="22"/>
          <w:szCs w:val="22"/>
          <w:highlight w:val="lightGray"/>
        </w:rPr>
        <w:t>vision …</w:t>
      </w:r>
      <w:r>
        <w:rPr>
          <w:rFonts w:ascii="Arial" w:hAnsi="Arial" w:cs="Arial"/>
          <w:sz w:val="22"/>
          <w:szCs w:val="22"/>
        </w:rPr>
        <w:t xml:space="preserve">], mit Rechtskraftbestätigung </w:t>
      </w:r>
    </w:p>
    <w:p w:rsidR="0026137E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Default="0026137E" w:rsidP="00407B2E">
      <w:pPr>
        <w:pStyle w:val="Text"/>
        <w:numPr>
          <w:ilvl w:val="0"/>
          <w:numId w:val="31"/>
        </w:numPr>
        <w:tabs>
          <w:tab w:val="left" w:pos="285"/>
          <w:tab w:val="left" w:pos="5244"/>
          <w:tab w:val="decimal" w:pos="7296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 w:rsidR="002A318E">
        <w:rPr>
          <w:rFonts w:ascii="Arial" w:hAnsi="Arial" w:cs="Arial"/>
          <w:sz w:val="22"/>
          <w:szCs w:val="22"/>
        </w:rPr>
        <w:t xml:space="preserve">mit der </w:t>
      </w:r>
      <w:r>
        <w:rPr>
          <w:rFonts w:ascii="Arial" w:hAnsi="Arial" w:cs="Arial"/>
          <w:sz w:val="22"/>
          <w:szCs w:val="22"/>
        </w:rPr>
        <w:t>befristeten Einzonung [</w:t>
      </w:r>
      <w:proofErr w:type="spellStart"/>
      <w:r w:rsidR="00397FED">
        <w:rPr>
          <w:rFonts w:ascii="Arial" w:hAnsi="Arial" w:cs="Arial"/>
          <w:color w:val="auto"/>
          <w:sz w:val="22"/>
          <w:szCs w:val="22"/>
          <w:highlight w:val="lightGray"/>
        </w:rPr>
        <w:t>Um</w:t>
      </w:r>
      <w:r w:rsidR="00397FED" w:rsidRPr="002B5083">
        <w:rPr>
          <w:rFonts w:ascii="Arial" w:hAnsi="Arial" w:cs="Arial"/>
          <w:color w:val="auto"/>
          <w:sz w:val="22"/>
          <w:szCs w:val="22"/>
          <w:highlight w:val="lightGray"/>
        </w:rPr>
        <w:t>zonung</w:t>
      </w:r>
      <w:proofErr w:type="spellEnd"/>
      <w:r w:rsidRPr="002B5083">
        <w:rPr>
          <w:rFonts w:ascii="Arial" w:hAnsi="Arial" w:cs="Arial"/>
          <w:color w:val="auto"/>
          <w:sz w:val="22"/>
          <w:szCs w:val="22"/>
          <w:highlight w:val="lightGray"/>
        </w:rPr>
        <w:t>/</w:t>
      </w:r>
      <w:proofErr w:type="spellStart"/>
      <w:r w:rsidR="00397FED">
        <w:rPr>
          <w:rFonts w:ascii="Arial" w:hAnsi="Arial" w:cs="Arial"/>
          <w:color w:val="auto"/>
          <w:sz w:val="22"/>
          <w:szCs w:val="22"/>
          <w:highlight w:val="lightGray"/>
        </w:rPr>
        <w:t>Auf</w:t>
      </w:r>
      <w:r w:rsidR="00397FED" w:rsidRPr="002B5083">
        <w:rPr>
          <w:rFonts w:ascii="Arial" w:hAnsi="Arial" w:cs="Arial"/>
          <w:color w:val="auto"/>
          <w:sz w:val="22"/>
          <w:szCs w:val="22"/>
          <w:highlight w:val="lightGray"/>
        </w:rPr>
        <w:t>zonung</w:t>
      </w:r>
      <w:proofErr w:type="spellEnd"/>
      <w:r>
        <w:rPr>
          <w:rFonts w:ascii="Arial" w:hAnsi="Arial" w:cs="Arial"/>
          <w:sz w:val="22"/>
          <w:szCs w:val="22"/>
        </w:rPr>
        <w:t xml:space="preserve">] </w:t>
      </w:r>
      <w:r w:rsidR="002A318E">
        <w:rPr>
          <w:rFonts w:ascii="Arial" w:hAnsi="Arial" w:cs="Arial"/>
          <w:sz w:val="22"/>
          <w:szCs w:val="22"/>
        </w:rPr>
        <w:t xml:space="preserve">verknüpften Bedingung, wonach mit </w:t>
      </w:r>
      <w:r w:rsidR="005C5C02">
        <w:rPr>
          <w:rFonts w:ascii="Arial" w:hAnsi="Arial" w:cs="Arial"/>
          <w:sz w:val="22"/>
          <w:szCs w:val="22"/>
        </w:rPr>
        <w:t>den Bauarbeiten</w:t>
      </w:r>
      <w:r w:rsidR="002A318E">
        <w:rPr>
          <w:rFonts w:ascii="Arial" w:hAnsi="Arial" w:cs="Arial"/>
          <w:sz w:val="22"/>
          <w:szCs w:val="22"/>
        </w:rPr>
        <w:t xml:space="preserve"> innert einer Frist von [</w:t>
      </w:r>
      <w:r w:rsidR="002A318E" w:rsidRPr="006A4045">
        <w:rPr>
          <w:rFonts w:ascii="Arial" w:hAnsi="Arial" w:cs="Arial"/>
          <w:sz w:val="22"/>
          <w:szCs w:val="22"/>
          <w:highlight w:val="lightGray"/>
        </w:rPr>
        <w:t>…</w:t>
      </w:r>
      <w:r w:rsidR="002A318E">
        <w:rPr>
          <w:rFonts w:ascii="Arial" w:hAnsi="Arial" w:cs="Arial"/>
          <w:sz w:val="22"/>
          <w:szCs w:val="22"/>
        </w:rPr>
        <w:t xml:space="preserve">], d.h. </w:t>
      </w:r>
      <w:r>
        <w:rPr>
          <w:rFonts w:ascii="Arial" w:hAnsi="Arial" w:cs="Arial"/>
          <w:sz w:val="22"/>
          <w:szCs w:val="22"/>
        </w:rPr>
        <w:t xml:space="preserve">bis </w:t>
      </w:r>
      <w:r w:rsidRPr="00E57083">
        <w:rPr>
          <w:rFonts w:ascii="Arial" w:hAnsi="Arial" w:cs="Arial"/>
          <w:sz w:val="22"/>
          <w:szCs w:val="22"/>
        </w:rPr>
        <w:t>zum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="002A318E">
        <w:rPr>
          <w:rStyle w:val="Funotenzeichen"/>
          <w:rFonts w:ascii="Arial" w:hAnsi="Arial" w:cs="Arial"/>
          <w:sz w:val="22"/>
          <w:szCs w:val="22"/>
          <w:highlight w:val="lightGray"/>
        </w:rPr>
        <w:footnoteReference w:id="1"/>
      </w:r>
      <w:r w:rsidRPr="00E57083">
        <w:rPr>
          <w:rFonts w:ascii="Arial" w:hAnsi="Arial" w:cs="Arial"/>
          <w:sz w:val="22"/>
          <w:szCs w:val="22"/>
        </w:rPr>
        <w:t>]</w:t>
      </w:r>
      <w:r w:rsidR="002A318E">
        <w:rPr>
          <w:rFonts w:ascii="Arial" w:hAnsi="Arial" w:cs="Arial"/>
          <w:sz w:val="22"/>
          <w:szCs w:val="22"/>
        </w:rPr>
        <w:t xml:space="preserve"> zu beginnen </w:t>
      </w:r>
      <w:r w:rsidR="00407B2E">
        <w:rPr>
          <w:rFonts w:ascii="Arial" w:hAnsi="Arial" w:cs="Arial"/>
          <w:sz w:val="22"/>
          <w:szCs w:val="22"/>
        </w:rPr>
        <w:t>und der Bau innert einer Frist von [</w:t>
      </w:r>
      <w:r w:rsidR="00407B2E" w:rsidRPr="006A4045">
        <w:rPr>
          <w:rFonts w:ascii="Arial" w:hAnsi="Arial" w:cs="Arial"/>
          <w:sz w:val="22"/>
          <w:szCs w:val="22"/>
          <w:highlight w:val="lightGray"/>
        </w:rPr>
        <w:t>…</w:t>
      </w:r>
      <w:r w:rsidR="00407B2E">
        <w:rPr>
          <w:rFonts w:ascii="Arial" w:hAnsi="Arial" w:cs="Arial"/>
          <w:sz w:val="22"/>
          <w:szCs w:val="22"/>
        </w:rPr>
        <w:t xml:space="preserve">], d.h. bis </w:t>
      </w:r>
      <w:r w:rsidR="00407B2E" w:rsidRPr="00E57083">
        <w:rPr>
          <w:rFonts w:ascii="Arial" w:hAnsi="Arial" w:cs="Arial"/>
          <w:sz w:val="22"/>
          <w:szCs w:val="22"/>
        </w:rPr>
        <w:t>zum [</w:t>
      </w:r>
      <w:r w:rsidR="00407B2E"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="00407B2E">
        <w:rPr>
          <w:rStyle w:val="Funotenzeichen"/>
          <w:rFonts w:ascii="Arial" w:hAnsi="Arial" w:cs="Arial"/>
          <w:sz w:val="22"/>
          <w:szCs w:val="22"/>
          <w:highlight w:val="lightGray"/>
        </w:rPr>
        <w:footnoteReference w:id="2"/>
      </w:r>
      <w:r w:rsidR="00407B2E" w:rsidRPr="00E57083">
        <w:rPr>
          <w:rFonts w:ascii="Arial" w:hAnsi="Arial" w:cs="Arial"/>
          <w:sz w:val="22"/>
          <w:szCs w:val="22"/>
        </w:rPr>
        <w:t>]</w:t>
      </w:r>
      <w:r w:rsidR="00407B2E">
        <w:rPr>
          <w:rFonts w:ascii="Arial" w:hAnsi="Arial" w:cs="Arial"/>
          <w:sz w:val="22"/>
          <w:szCs w:val="22"/>
        </w:rPr>
        <w:t xml:space="preserve"> zu vollenden </w:t>
      </w:r>
      <w:r w:rsidR="002A318E">
        <w:rPr>
          <w:rFonts w:ascii="Arial" w:hAnsi="Arial" w:cs="Arial"/>
          <w:sz w:val="22"/>
          <w:szCs w:val="22"/>
        </w:rPr>
        <w:t>ist</w:t>
      </w:r>
      <w:r>
        <w:rPr>
          <w:rFonts w:ascii="Arial" w:hAnsi="Arial" w:cs="Arial"/>
          <w:sz w:val="22"/>
          <w:szCs w:val="22"/>
        </w:rPr>
        <w:t xml:space="preserve"> </w:t>
      </w:r>
      <w:r w:rsidRPr="00E57083">
        <w:rPr>
          <w:rFonts w:ascii="Arial" w:hAnsi="Arial" w:cs="Arial"/>
          <w:sz w:val="22"/>
          <w:szCs w:val="22"/>
        </w:rPr>
        <w:t>(Art. 19</w:t>
      </w:r>
      <w:r>
        <w:rPr>
          <w:rFonts w:ascii="Arial" w:hAnsi="Arial" w:cs="Arial"/>
          <w:sz w:val="22"/>
          <w:szCs w:val="22"/>
        </w:rPr>
        <w:t>h</w:t>
      </w:r>
      <w:r w:rsidRPr="00E57083">
        <w:rPr>
          <w:rFonts w:ascii="Arial" w:hAnsi="Arial" w:cs="Arial"/>
          <w:sz w:val="22"/>
          <w:szCs w:val="22"/>
        </w:rPr>
        <w:t xml:space="preserve"> KRG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Pr="004468F5">
        <w:rPr>
          <w:rFonts w:ascii="Arial" w:hAnsi="Arial" w:cs="Arial"/>
          <w:sz w:val="22"/>
          <w:szCs w:val="22"/>
          <w:highlight w:val="lightGray"/>
        </w:rPr>
        <w:t>Art. … BauG und</w:t>
      </w:r>
      <w:r>
        <w:rPr>
          <w:rFonts w:ascii="Arial" w:hAnsi="Arial" w:cs="Arial"/>
          <w:sz w:val="22"/>
          <w:szCs w:val="22"/>
        </w:rPr>
        <w:t xml:space="preserve">] </w:t>
      </w:r>
      <w:r w:rsidRPr="00E57083">
        <w:rPr>
          <w:rFonts w:ascii="Arial" w:hAnsi="Arial" w:cs="Arial"/>
          <w:sz w:val="22"/>
          <w:szCs w:val="22"/>
        </w:rPr>
        <w:t xml:space="preserve">Art. 19w </w:t>
      </w:r>
      <w:r w:rsidR="00FC22E8">
        <w:rPr>
          <w:rFonts w:ascii="Arial" w:hAnsi="Arial" w:cs="Arial"/>
          <w:sz w:val="22"/>
          <w:szCs w:val="22"/>
        </w:rPr>
        <w:t>Abs. 2 Ziff. 5 KRG)</w:t>
      </w:r>
    </w:p>
    <w:p w:rsidR="00407B2E" w:rsidRPr="00AC2A92" w:rsidRDefault="00407B2E" w:rsidP="00407B2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720"/>
        <w:rPr>
          <w:rFonts w:ascii="Arial" w:hAnsi="Arial" w:cs="Arial"/>
          <w:color w:val="auto"/>
          <w:sz w:val="22"/>
          <w:szCs w:val="22"/>
        </w:rPr>
      </w:pPr>
      <w:r w:rsidRPr="00AC2A92">
        <w:rPr>
          <w:rFonts w:ascii="Arial" w:hAnsi="Arial" w:cs="Arial"/>
          <w:color w:val="auto"/>
          <w:sz w:val="22"/>
          <w:szCs w:val="22"/>
        </w:rPr>
        <w:t xml:space="preserve">Variante: </w:t>
      </w:r>
    </w:p>
    <w:p w:rsidR="00407B2E" w:rsidRPr="00E57083" w:rsidRDefault="00407B2E" w:rsidP="00407B2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>
        <w:rPr>
          <w:rFonts w:ascii="Arial" w:hAnsi="Arial" w:cs="Arial"/>
          <w:sz w:val="22"/>
          <w:szCs w:val="22"/>
        </w:rPr>
        <w:t>mit der befristeten Einzonung [</w:t>
      </w:r>
      <w:proofErr w:type="spellStart"/>
      <w:r>
        <w:rPr>
          <w:rFonts w:ascii="Arial" w:hAnsi="Arial" w:cs="Arial"/>
          <w:color w:val="auto"/>
          <w:sz w:val="22"/>
          <w:szCs w:val="22"/>
          <w:highlight w:val="lightGray"/>
        </w:rPr>
        <w:t>Um</w:t>
      </w:r>
      <w:r w:rsidRPr="002B5083">
        <w:rPr>
          <w:rFonts w:ascii="Arial" w:hAnsi="Arial" w:cs="Arial"/>
          <w:color w:val="auto"/>
          <w:sz w:val="22"/>
          <w:szCs w:val="22"/>
          <w:highlight w:val="lightGray"/>
        </w:rPr>
        <w:t>zonung</w:t>
      </w:r>
      <w:proofErr w:type="spellEnd"/>
      <w:r w:rsidRPr="002B5083">
        <w:rPr>
          <w:rFonts w:ascii="Arial" w:hAnsi="Arial" w:cs="Arial"/>
          <w:color w:val="auto"/>
          <w:sz w:val="22"/>
          <w:szCs w:val="22"/>
          <w:highlight w:val="lightGray"/>
        </w:rPr>
        <w:t>/</w:t>
      </w:r>
      <w:proofErr w:type="spellStart"/>
      <w:r>
        <w:rPr>
          <w:rFonts w:ascii="Arial" w:hAnsi="Arial" w:cs="Arial"/>
          <w:color w:val="auto"/>
          <w:sz w:val="22"/>
          <w:szCs w:val="22"/>
          <w:highlight w:val="lightGray"/>
        </w:rPr>
        <w:t>Auf</w:t>
      </w:r>
      <w:r w:rsidRPr="002B5083">
        <w:rPr>
          <w:rFonts w:ascii="Arial" w:hAnsi="Arial" w:cs="Arial"/>
          <w:color w:val="auto"/>
          <w:sz w:val="22"/>
          <w:szCs w:val="22"/>
          <w:highlight w:val="lightGray"/>
        </w:rPr>
        <w:t>zonung</w:t>
      </w:r>
      <w:proofErr w:type="spellEnd"/>
      <w:r>
        <w:rPr>
          <w:rFonts w:ascii="Arial" w:hAnsi="Arial" w:cs="Arial"/>
          <w:sz w:val="22"/>
          <w:szCs w:val="22"/>
        </w:rPr>
        <w:t>] verknüpften Bedingung, wonach der Bau innert einer Frist von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 xml:space="preserve">], d.h. bis </w:t>
      </w:r>
      <w:r w:rsidRPr="00E57083">
        <w:rPr>
          <w:rFonts w:ascii="Arial" w:hAnsi="Arial" w:cs="Arial"/>
          <w:sz w:val="22"/>
          <w:szCs w:val="22"/>
        </w:rPr>
        <w:t>zum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>
        <w:rPr>
          <w:rStyle w:val="Funotenzeichen"/>
          <w:rFonts w:ascii="Arial" w:hAnsi="Arial" w:cs="Arial"/>
          <w:sz w:val="22"/>
          <w:szCs w:val="22"/>
          <w:highlight w:val="lightGray"/>
        </w:rPr>
        <w:footnoteReference w:id="3"/>
      </w:r>
      <w:r w:rsidRPr="00E57083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zu vollenden ist </w:t>
      </w:r>
      <w:r w:rsidRPr="00E57083">
        <w:rPr>
          <w:rFonts w:ascii="Arial" w:hAnsi="Arial" w:cs="Arial"/>
          <w:sz w:val="22"/>
          <w:szCs w:val="22"/>
        </w:rPr>
        <w:t>(Art. 19</w:t>
      </w:r>
      <w:r>
        <w:rPr>
          <w:rFonts w:ascii="Arial" w:hAnsi="Arial" w:cs="Arial"/>
          <w:sz w:val="22"/>
          <w:szCs w:val="22"/>
        </w:rPr>
        <w:t>h</w:t>
      </w:r>
      <w:r w:rsidRPr="00E57083">
        <w:rPr>
          <w:rFonts w:ascii="Arial" w:hAnsi="Arial" w:cs="Arial"/>
          <w:sz w:val="22"/>
          <w:szCs w:val="22"/>
        </w:rPr>
        <w:t xml:space="preserve"> KRG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Pr="004468F5">
        <w:rPr>
          <w:rFonts w:ascii="Arial" w:hAnsi="Arial" w:cs="Arial"/>
          <w:sz w:val="22"/>
          <w:szCs w:val="22"/>
          <w:highlight w:val="lightGray"/>
        </w:rPr>
        <w:t>Art. … BauG und</w:t>
      </w:r>
      <w:r>
        <w:rPr>
          <w:rFonts w:ascii="Arial" w:hAnsi="Arial" w:cs="Arial"/>
          <w:sz w:val="22"/>
          <w:szCs w:val="22"/>
        </w:rPr>
        <w:t xml:space="preserve">] </w:t>
      </w:r>
      <w:r w:rsidRPr="00E57083">
        <w:rPr>
          <w:rFonts w:ascii="Arial" w:hAnsi="Arial" w:cs="Arial"/>
          <w:sz w:val="22"/>
          <w:szCs w:val="22"/>
        </w:rPr>
        <w:t xml:space="preserve">Art. 19w </w:t>
      </w:r>
      <w:r w:rsidR="00FC22E8">
        <w:rPr>
          <w:rFonts w:ascii="Arial" w:hAnsi="Arial" w:cs="Arial"/>
          <w:sz w:val="22"/>
          <w:szCs w:val="22"/>
        </w:rPr>
        <w:t>Abs. 2 Ziff. 5 KRG)</w:t>
      </w:r>
    </w:p>
    <w:p w:rsidR="00AC2A92" w:rsidRDefault="00AC2A92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Das Grundbuchamt wird beauftragt und ermächtigt, die Anmerkung </w:t>
      </w:r>
      <w:proofErr w:type="spellStart"/>
      <w:r w:rsidRPr="00E57083">
        <w:rPr>
          <w:rFonts w:ascii="Arial" w:hAnsi="Arial" w:cs="Arial"/>
          <w:sz w:val="22"/>
          <w:szCs w:val="22"/>
        </w:rPr>
        <w:t>grundbuchlich</w:t>
      </w:r>
      <w:proofErr w:type="spellEnd"/>
      <w:r w:rsidRPr="00E57083">
        <w:rPr>
          <w:rFonts w:ascii="Arial" w:hAnsi="Arial" w:cs="Arial"/>
          <w:sz w:val="22"/>
          <w:szCs w:val="22"/>
        </w:rPr>
        <w:t xml:space="preserve"> unmittelbar zu vollziehen.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26137E" w:rsidRPr="00AC2A92" w:rsidRDefault="0026137E" w:rsidP="00AC2A92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8611B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Grundbuchanmeldung 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 xml:space="preserve">für befristete </w:t>
      </w:r>
      <w:r w:rsidR="00397FED">
        <w:rPr>
          <w:rFonts w:ascii="Arial" w:eastAsiaTheme="minorHAnsi" w:hAnsi="Arial" w:cs="Arial"/>
          <w:sz w:val="22"/>
          <w:szCs w:val="22"/>
          <w:lang w:eastAsia="en-US"/>
        </w:rPr>
        <w:t xml:space="preserve">Ein-, Um- oder Aufzonungen 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>Art. 19h KRG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) nach Art. 19w Abs. 2 Ziff. 5 KRG.</w:t>
      </w:r>
    </w:p>
    <w:p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:rsidR="00B87640" w:rsidRPr="00A23021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FF" w:rsidRDefault="008323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FF" w:rsidRDefault="008323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FF" w:rsidRDefault="008323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2A318E" w:rsidRDefault="002A318E">
      <w:pPr>
        <w:pStyle w:val="Funotentext"/>
      </w:pPr>
      <w:r>
        <w:rPr>
          <w:rStyle w:val="Funotenzeichen"/>
        </w:rPr>
        <w:footnoteRef/>
      </w:r>
      <w:r>
        <w:t xml:space="preserve"> Frist berechnet ab Rechtskraft Einzonung/</w:t>
      </w:r>
      <w:proofErr w:type="spellStart"/>
      <w:r>
        <w:t>Umzonung</w:t>
      </w:r>
      <w:proofErr w:type="spellEnd"/>
      <w:r>
        <w:t>/</w:t>
      </w:r>
      <w:proofErr w:type="spellStart"/>
      <w:r>
        <w:t>Aufzonung</w:t>
      </w:r>
      <w:proofErr w:type="spellEnd"/>
      <w:r>
        <w:t xml:space="preserve">. </w:t>
      </w:r>
    </w:p>
  </w:footnote>
  <w:footnote w:id="2">
    <w:p w:rsidR="00407B2E" w:rsidRDefault="00407B2E" w:rsidP="00407B2E">
      <w:pPr>
        <w:pStyle w:val="Funotentext"/>
      </w:pPr>
      <w:r>
        <w:rPr>
          <w:rStyle w:val="Funotenzeichen"/>
        </w:rPr>
        <w:footnoteRef/>
      </w:r>
      <w:r>
        <w:t xml:space="preserve"> Frist berechnet ab Rechtskraft Einzonung/</w:t>
      </w:r>
      <w:proofErr w:type="spellStart"/>
      <w:r>
        <w:t>Umzonung</w:t>
      </w:r>
      <w:proofErr w:type="spellEnd"/>
      <w:r>
        <w:t>/</w:t>
      </w:r>
      <w:proofErr w:type="spellStart"/>
      <w:r>
        <w:t>Aufzonung</w:t>
      </w:r>
      <w:proofErr w:type="spellEnd"/>
      <w:r>
        <w:t xml:space="preserve">. </w:t>
      </w:r>
    </w:p>
  </w:footnote>
  <w:footnote w:id="3">
    <w:p w:rsidR="00407B2E" w:rsidRDefault="00407B2E" w:rsidP="00407B2E">
      <w:pPr>
        <w:pStyle w:val="Funotentext"/>
      </w:pPr>
      <w:r>
        <w:rPr>
          <w:rStyle w:val="Funotenzeichen"/>
        </w:rPr>
        <w:footnoteRef/>
      </w:r>
      <w:r>
        <w:t xml:space="preserve"> Frist berechnet ab Rechtskraft Einzonung/</w:t>
      </w:r>
      <w:proofErr w:type="spellStart"/>
      <w:r>
        <w:t>Umzonung</w:t>
      </w:r>
      <w:proofErr w:type="spellEnd"/>
      <w:r>
        <w:t>/</w:t>
      </w:r>
      <w:proofErr w:type="spellStart"/>
      <w:r>
        <w:t>Aufzonung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FF" w:rsidRDefault="008323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FF" w:rsidRDefault="008323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5B5AC8">
      <w:rPr>
        <w:rFonts w:ascii="Arial" w:eastAsiaTheme="minorHAnsi" w:hAnsi="Arial" w:cs="Arial"/>
        <w:b/>
        <w:szCs w:val="16"/>
        <w:lang w:eastAsia="en-US"/>
      </w:rPr>
      <w:t>Vollzugshilfe Gb</w:t>
    </w:r>
    <w:r>
      <w:rPr>
        <w:rFonts w:ascii="Arial" w:eastAsiaTheme="minorHAnsi" w:hAnsi="Arial" w:cs="Arial"/>
        <w:b/>
        <w:szCs w:val="16"/>
        <w:lang w:eastAsia="en-US"/>
      </w:rPr>
      <w:t>6</w:t>
    </w:r>
  </w:p>
  <w:p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 Graubünden, Version Stand</w:t>
    </w:r>
    <w:r w:rsidR="00AC2A92">
      <w:rPr>
        <w:rFonts w:ascii="Arial" w:eastAsiaTheme="minorHAnsi" w:hAnsi="Arial" w:cs="Arial"/>
        <w:sz w:val="16"/>
        <w:szCs w:val="16"/>
        <w:lang w:eastAsia="en-US"/>
      </w:rPr>
      <w:t xml:space="preserve"> </w:t>
    </w:r>
    <w:r w:rsidR="008323FF">
      <w:rPr>
        <w:rFonts w:ascii="Arial" w:eastAsiaTheme="minorHAnsi" w:hAnsi="Arial" w:cs="Arial"/>
        <w:sz w:val="16"/>
        <w:szCs w:val="16"/>
        <w:lang w:eastAsia="en-US"/>
      </w:rPr>
      <w:t>2</w:t>
    </w:r>
    <w:bookmarkStart w:id="0" w:name="_GoBack"/>
    <w:bookmarkEnd w:id="0"/>
    <w:r w:rsidR="00AC2A92">
      <w:rPr>
        <w:rFonts w:ascii="Arial" w:eastAsiaTheme="minorHAnsi" w:hAnsi="Arial" w:cs="Arial"/>
        <w:sz w:val="16"/>
        <w:szCs w:val="16"/>
        <w:lang w:eastAsia="en-US"/>
      </w:rPr>
      <w:t>9.05.</w:t>
    </w:r>
    <w:r>
      <w:rPr>
        <w:rFonts w:ascii="Arial" w:eastAsiaTheme="minorHAnsi" w:hAnsi="Arial" w:cs="Arial"/>
        <w:sz w:val="16"/>
        <w:szCs w:val="16"/>
        <w:lang w:eastAsia="en-US"/>
      </w:rPr>
      <w:t>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174A8"/>
    <w:multiLevelType w:val="hybridMultilevel"/>
    <w:tmpl w:val="9B78E8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20"/>
  </w:num>
  <w:num w:numId="6">
    <w:abstractNumId w:val="24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3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</w:num>
  <w:num w:numId="22">
    <w:abstractNumId w:val="22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2"/>
    <w:lvlOverride w:ilvl="0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0C7CE3"/>
    <w:rsid w:val="000F444B"/>
    <w:rsid w:val="00202DC0"/>
    <w:rsid w:val="0026137E"/>
    <w:rsid w:val="002A318E"/>
    <w:rsid w:val="002B5083"/>
    <w:rsid w:val="00323843"/>
    <w:rsid w:val="00324D22"/>
    <w:rsid w:val="0033787F"/>
    <w:rsid w:val="0039271A"/>
    <w:rsid w:val="00393F38"/>
    <w:rsid w:val="00397FED"/>
    <w:rsid w:val="003A7B39"/>
    <w:rsid w:val="003D2115"/>
    <w:rsid w:val="003D365A"/>
    <w:rsid w:val="00407B2E"/>
    <w:rsid w:val="004468F5"/>
    <w:rsid w:val="0049385D"/>
    <w:rsid w:val="004F01DC"/>
    <w:rsid w:val="00572DEF"/>
    <w:rsid w:val="00595F04"/>
    <w:rsid w:val="005A2E75"/>
    <w:rsid w:val="005C5C02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323FF"/>
    <w:rsid w:val="00893E86"/>
    <w:rsid w:val="008C1FB6"/>
    <w:rsid w:val="0091730A"/>
    <w:rsid w:val="0097467D"/>
    <w:rsid w:val="009A14B3"/>
    <w:rsid w:val="009D55FF"/>
    <w:rsid w:val="00A23021"/>
    <w:rsid w:val="00A707DF"/>
    <w:rsid w:val="00A85872"/>
    <w:rsid w:val="00A86A05"/>
    <w:rsid w:val="00AC2A92"/>
    <w:rsid w:val="00AD466C"/>
    <w:rsid w:val="00AE0CF5"/>
    <w:rsid w:val="00B46B0C"/>
    <w:rsid w:val="00B61FBF"/>
    <w:rsid w:val="00B87640"/>
    <w:rsid w:val="00C12274"/>
    <w:rsid w:val="00C85A23"/>
    <w:rsid w:val="00C8611B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EF708B"/>
    <w:rsid w:val="00F42F3D"/>
    <w:rsid w:val="00F50D37"/>
    <w:rsid w:val="00F80BA5"/>
    <w:rsid w:val="00FC22E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4:docId w14:val="2F361822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FFAC2-ED13-43D8-A834-4468FBC9301D}"/>
</file>

<file path=customXml/itemProps2.xml><?xml version="1.0" encoding="utf-8"?>
<ds:datastoreItem xmlns:ds="http://schemas.openxmlformats.org/officeDocument/2006/customXml" ds:itemID="{39900834-1D85-4F82-B846-277B0DC8D0F6}"/>
</file>

<file path=customXml/itemProps3.xml><?xml version="1.0" encoding="utf-8"?>
<ds:datastoreItem xmlns:ds="http://schemas.openxmlformats.org/officeDocument/2006/customXml" ds:itemID="{E63B27A2-89BC-4429-8DCD-F52E9261B7CF}"/>
</file>

<file path=customXml/itemProps4.xml><?xml version="1.0" encoding="utf-8"?>
<ds:datastoreItem xmlns:ds="http://schemas.openxmlformats.org/officeDocument/2006/customXml" ds:itemID="{C73CEE11-A82C-480C-90DB-C1058DEB76C7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234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(für befristete Ein-, Um- oder Aufzonungen)_docx</dc:title>
  <dc:creator>Corina Caluori</dc:creator>
  <cp:lastModifiedBy>Broder Toni</cp:lastModifiedBy>
  <cp:revision>7</cp:revision>
  <cp:lastPrinted>2020-05-01T15:42:00Z</cp:lastPrinted>
  <dcterms:created xsi:type="dcterms:W3CDTF">2020-05-01T15:47:00Z</dcterms:created>
  <dcterms:modified xsi:type="dcterms:W3CDTF">2020-05-29T11:43:00Z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