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EB" w:rsidRPr="000F02BC" w:rsidRDefault="00D77288" w:rsidP="000F02BC">
      <w:pPr>
        <w:pStyle w:val="berschrift1"/>
        <w:pBdr>
          <w:bottom w:val="none" w:sz="0" w:space="0" w:color="auto"/>
        </w:pBdr>
      </w:pPr>
      <w:r>
        <w:t xml:space="preserve">Esigibilità della tassa sul plusvalore a seguito di edificazione</w:t>
      </w:r>
    </w:p>
    <w:p w:rsidR="00D77288" w:rsidRPr="004D5CD4" w:rsidRDefault="00D77288" w:rsidP="00EA69FC">
      <w:pPr>
        <w:rPr>
          <w:rFonts w:ascii="Arial" w:hAnsi="Arial" w:cs="Arial"/>
        </w:rPr>
      </w:pPr>
      <w:r>
        <w:rPr>
          <w:rFonts w:ascii="Arial" w:hAnsi="Arial"/>
        </w:rPr>
        <w:t xml:space="preserve">La tassa diviene esigibile in caso di edificazione.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tassa diviene esigibile con il passaggio in giudicato della licenza edilizia (art. 19n cpv. 1 e 2 LPTC).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municipio fattura la tassa sul plusvalore esigibile nel quadro della licenza edilizia se il motivo di esigibilità è un'edificazione (art. 35m cpv. 1 OPTC).</w:t>
      </w:r>
    </w:p>
    <w:p w:rsidR="004D5CD4" w:rsidRDefault="004D5CD4" w:rsidP="004D5CD4">
      <w:pPr>
        <w:spacing w:before="480" w:after="360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Blocchi di testo per la decisione relativa alla licenza edilizia</w:t>
      </w:r>
      <w:r>
        <w:rPr>
          <w:b/>
          <w:sz w:val="28"/>
          <w:szCs w:val="28"/>
          <w:rFonts w:ascii="Arial" w:hAnsi="Arial"/>
        </w:rPr>
        <w:t xml:space="preserve"> </w:t>
      </w:r>
    </w:p>
    <w:p w:rsidR="00E72F4E" w:rsidRDefault="00E72F4E" w:rsidP="00D10FD5">
      <w:pPr>
        <w:spacing w:before="480" w:after="120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Variante 1</w:t>
      </w:r>
    </w:p>
    <w:p w:rsidR="00E72F4E" w:rsidRPr="00E72F4E" w:rsidRDefault="00E72F4E" w:rsidP="00D10FD5">
      <w:pPr>
        <w:spacing w:before="120" w:after="360"/>
        <w:rPr>
          <w:rFonts w:ascii="Arial" w:hAnsi="Arial" w:cs="Arial"/>
        </w:rPr>
      </w:pPr>
      <w:r>
        <w:rPr>
          <w:rFonts w:ascii="Arial" w:hAnsi="Arial"/>
        </w:rPr>
        <w:t xml:space="preserve">Se la persona assoggettata alla tassa corrisponde a chi ha chiesto la licenza edilizia, la tassa sul plusvalore può essere fatturata nella licenza edilizia utilizzando la seguente formulazione:</w:t>
      </w:r>
    </w:p>
    <w:p w:rsidR="00D77288" w:rsidRPr="004D5CD4" w:rsidRDefault="004D5CD4" w:rsidP="00D10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120"/>
        <w:rPr>
          <w:rFonts w:ascii="Arial" w:hAnsi="Arial" w:cs="Arial"/>
        </w:rPr>
      </w:pPr>
      <w:r>
        <w:rPr>
          <w:b/>
          <w:rFonts w:ascii="Arial" w:hAnsi="Arial"/>
        </w:rPr>
        <w:t xml:space="preserve">Tassa sul plusvalore</w:t>
      </w:r>
    </w:p>
    <w:p w:rsidR="00D77288" w:rsidRPr="004D5CD4" w:rsidRDefault="00D77288" w:rsidP="00EA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Con il passaggio in giudicato della presente decisione relativa alla licenza edilizia, diviene esigibile la tassa sul plusvalore accertata e passata in giudicato con decisione del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 per vantaggi derivanti dalla pianificazione sul fondo n. 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 per un importo di CHF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].</w:t>
      </w:r>
      <w:r>
        <w:rPr>
          <w:rFonts w:ascii="Arial" w:hAnsi="Arial"/>
        </w:rPr>
        <w:t xml:space="preserve"> </w:t>
      </w:r>
    </w:p>
    <w:p w:rsidR="003162DC" w:rsidRPr="003162DC" w:rsidRDefault="004D5CD4" w:rsidP="00EA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La tassa deve essere versata entro 60 giorni dal passaggio in giudicato della presente decisione relativa alla licenza edilizia al Comune di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 a mezzo della polizza di versamento allegata.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Secondo l'art. 35m cpv. 2 OPTC in caso di pagamenti ritardati sono dovuti interessi di mora pari agli interessi di mora cantonali in vigore, attualmente pari al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]%.</w:t>
      </w:r>
    </w:p>
    <w:p w:rsidR="003162DC" w:rsidRPr="003162DC" w:rsidRDefault="003162DC" w:rsidP="00EA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Dopo aver ricevuto il pagamento il Comune predispone d'ufficio la cancellazione delle menzioni a registro fondiario secondo l'art. 19w cpv. 2 n. 6 LPTC riguardo all'obbligo di versare la tassa sul plusvalore e secondo l'art. 19w cpv. 3 LPTC riguardo al diritto di pegno legale sul fondo n.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], piano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], Comune di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].</w:t>
      </w:r>
    </w:p>
    <w:p w:rsidR="00377A37" w:rsidRDefault="005175D0" w:rsidP="00EA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La decisione edilizia viene comunicata all'Ufficio per lo sviluppo del territorio ai sensi dell'art. 35l cpv. 2 OPTC.</w:t>
      </w:r>
    </w:p>
    <w:p w:rsidR="00F6560F" w:rsidRDefault="00F6560F" w:rsidP="00D77288">
      <w:pPr>
        <w:rPr>
          <w:rFonts w:ascii="Arial" w:hAnsi="Arial" w:cs="Arial"/>
        </w:rPr>
      </w:pPr>
    </w:p>
    <w:p w:rsidR="00F6560F" w:rsidRDefault="00F6560F" w:rsidP="00D77288">
      <w:pPr>
        <w:rPr>
          <w:rFonts w:ascii="Arial" w:hAnsi="Arial" w:cs="Arial"/>
        </w:rPr>
      </w:pPr>
    </w:p>
    <w:p w:rsidR="00EA69FC" w:rsidRDefault="00EA69FC">
      <w:pPr>
        <w:spacing w:after="0" w:line="240" w:lineRule="auto"/>
        <w:rPr>
          <w:b/>
          <w:sz w:val="28"/>
          <w:szCs w:val="28"/>
          <w:rFonts w:ascii="Arial" w:hAnsi="Arial" w:cs="Arial"/>
        </w:rPr>
      </w:pPr>
      <w:r>
        <w:br w:type="page"/>
      </w:r>
    </w:p>
    <w:p w:rsidR="00E72F4E" w:rsidRDefault="00E72F4E" w:rsidP="00D10FD5">
      <w:pPr>
        <w:spacing w:before="480" w:after="120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Variante 2</w:t>
      </w:r>
    </w:p>
    <w:p w:rsidR="00377A37" w:rsidRDefault="00E72F4E" w:rsidP="00D77288">
      <w:pPr>
        <w:rPr>
          <w:rFonts w:ascii="Arial" w:hAnsi="Arial" w:cs="Arial"/>
        </w:rPr>
      </w:pPr>
      <w:r>
        <w:rPr>
          <w:rFonts w:ascii="Arial" w:hAnsi="Arial"/>
        </w:rPr>
        <w:t xml:space="preserve">Se la persona assoggettata alla tassa non corrisponde a chi ha chiesto la licenza edilizia, occorre aggiungere il seguente passaggio nella licenza edilizia.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Alla persona assoggettata alla tassa deve essere inviata una copia della licenza edilizia.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Allo stesso tempo, nel quadro del diritto di essere sentita le deve essere concessa la possibilità di prendere posizione in merito all'imminente esigibilità della tassa sul plusvalore.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questo caso la tassa sul plusvalore deve essere fatturata mediante una decisione (vedi la relativa guida d'applicazione).</w:t>
      </w:r>
    </w:p>
    <w:p w:rsidR="00E72F4E" w:rsidRPr="004D5CD4" w:rsidRDefault="00E72F4E" w:rsidP="00D10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120"/>
        <w:rPr>
          <w:rFonts w:ascii="Arial" w:hAnsi="Arial" w:cs="Arial"/>
        </w:rPr>
      </w:pPr>
      <w:r>
        <w:rPr>
          <w:b/>
          <w:rFonts w:ascii="Arial" w:hAnsi="Arial"/>
        </w:rPr>
        <w:t xml:space="preserve">Tassa sul plusvalore</w:t>
      </w:r>
    </w:p>
    <w:p w:rsidR="00E72F4E" w:rsidRPr="004D5CD4" w:rsidRDefault="00E72F4E" w:rsidP="00EA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Con il passaggio in giudicato della presente decisione relativa alla licenza edilizia, diviene esigibile la tassa sul plusvalore accertata e passata in giudicato con decisione del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 per vantaggi derivanti dalla pianificazione sul fondo n. 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 per un importo di CHF [</w:t>
      </w:r>
      <w:r>
        <w:rPr>
          <w:highlight w:val="lightGray"/>
          <w:rFonts w:ascii="Arial" w:hAnsi="Arial"/>
        </w:rPr>
        <w:t xml:space="preserve">…</w:t>
      </w:r>
      <w:r>
        <w:rPr>
          <w:rFonts w:ascii="Arial" w:hAnsi="Arial"/>
        </w:rPr>
        <w:t xml:space="preserve">].</w:t>
      </w:r>
      <w:r>
        <w:rPr>
          <w:rFonts w:ascii="Arial" w:hAnsi="Arial"/>
        </w:rPr>
        <w:t xml:space="preserve"> </w:t>
      </w:r>
    </w:p>
    <w:p w:rsidR="00E72F4E" w:rsidRDefault="00E72F4E" w:rsidP="00EA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La tassa sul plusvalore viene fatturata alle persone assoggettate mediante una decisione di fatturazione separata.</w:t>
      </w:r>
    </w:p>
    <w:p w:rsidR="00E72F4E" w:rsidRDefault="00340C8D" w:rsidP="00EA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La decisione edilizia viene comunicata all'Ufficio per lo sviluppo del territorio ai sensi dell'art. 35l cpv. 2 OPTC.</w:t>
      </w:r>
    </w:p>
    <w:p w:rsidR="005B6EF4" w:rsidRDefault="005B6EF4" w:rsidP="005B6EF4">
      <w:pPr>
        <w:spacing w:after="0" w:line="312" w:lineRule="auto"/>
        <w:rPr>
          <w:rFonts w:ascii="Arial" w:hAnsi="Arial" w:cs="Arial"/>
        </w:rPr>
      </w:pPr>
    </w:p>
    <w:p w:rsidR="000F02BC" w:rsidRDefault="000F02BC" w:rsidP="005B6EF4">
      <w:pPr>
        <w:spacing w:after="0" w:line="312" w:lineRule="auto"/>
        <w:rPr>
          <w:rFonts w:ascii="Arial" w:hAnsi="Arial" w:cs="Arial"/>
        </w:rPr>
      </w:pPr>
    </w:p>
    <w:p w:rsidR="000F02BC" w:rsidRPr="009315FC" w:rsidRDefault="000F02BC" w:rsidP="005B6EF4">
      <w:pPr>
        <w:spacing w:after="0" w:line="312" w:lineRule="auto"/>
        <w:rPr>
          <w:rFonts w:ascii="Arial" w:hAnsi="Arial" w:cs="Arial"/>
        </w:rPr>
      </w:pPr>
    </w:p>
    <w:p w:rsidR="00E72F4E" w:rsidRPr="007209E1" w:rsidRDefault="007209E1" w:rsidP="0072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u w:val="single"/>
          <w:rFonts w:ascii="Arial" w:hAnsi="Arial"/>
        </w:rPr>
        <w:t xml:space="preserve">Indicazione d'uso: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questo modello rappresenta uno strumento ausiliario del Cantone.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Le formulazioni contenute in questo modello hanno mero carattere di proposta.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passaggi di testo che devono essere integrati o precisati da parte del Comune vengono resi individuabili con i segnaposto messi tra parentesi quadre […] e si trovano su sfondo grigio.</w:t>
      </w:r>
    </w:p>
    <w:p w:rsidR="00F2420F" w:rsidRPr="009315FC" w:rsidRDefault="00D10FD5" w:rsidP="00B61298">
      <w:pPr>
        <w:spacing w:after="0" w:line="240" w:lineRule="auto"/>
        <w:rPr>
          <w:rFonts w:ascii="Arial" w:hAnsi="Arial" w:cs="Arial"/>
        </w:rPr>
      </w:pPr>
    </w:p>
    <w:sectPr w:rsidR="00F2420F" w:rsidRPr="009315FC" w:rsidSect="00D72FEB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54" w:rsidRDefault="00681B54" w:rsidP="00681B54">
      <w:pPr>
        <w:spacing w:after="0" w:line="240" w:lineRule="auto"/>
      </w:pPr>
      <w:r>
        <w:separator/>
      </w:r>
    </w:p>
  </w:endnote>
  <w:endnote w:type="continuationSeparator" w:id="0">
    <w:p w:rsidR="00681B54" w:rsidRDefault="00681B54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54" w:rsidRDefault="00681B54" w:rsidP="00681B54">
      <w:pPr>
        <w:spacing w:after="0" w:line="240" w:lineRule="auto"/>
      </w:pPr>
      <w:r>
        <w:separator/>
      </w:r>
    </w:p>
  </w:footnote>
  <w:footnote w:type="continuationSeparator" w:id="0">
    <w:p w:rsidR="00681B54" w:rsidRDefault="00681B54" w:rsidP="0068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078917"/>
      <w:docPartObj>
        <w:docPartGallery w:val="Page Numbers (Top of Page)"/>
        <w:docPartUnique/>
      </w:docPartObj>
    </w:sdtPr>
    <w:sdtEndPr/>
    <w:sdtContent>
      <w:p w:rsidR="00681B54" w:rsidRPr="00D72FEB" w:rsidRDefault="00D72FEB" w:rsidP="00D72FE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FD5" w:rsidRPr="00D10FD5"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B" w:rsidRPr="00D10FD5" w:rsidRDefault="00D72FEB" w:rsidP="00D72FE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b/>
        <w:sz w:val="24"/>
        <w:szCs w:val="16"/>
        <w:rFonts w:ascii="Arial" w:eastAsia="Calibri" w:hAnsi="Arial" w:cs="Arial"/>
      </w:rPr>
    </w:pPr>
    <w:r>
      <w:rPr>
        <w:b/>
        <w:sz w:val="24"/>
        <w:szCs w:val="16"/>
        <w:rFonts w:ascii="Arial" w:hAnsi="Arial"/>
      </w:rPr>
      <w:t xml:space="preserve">Guida d'applicazione M7</w:t>
    </w:r>
  </w:p>
  <w:p w:rsidR="00D10FD5" w:rsidRPr="00D10FD5" w:rsidRDefault="00D10FD5" w:rsidP="00D72FE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b/>
        <w:sz w:val="16"/>
        <w:szCs w:val="16"/>
        <w:rFonts w:ascii="Arial" w:eastAsia="Calibri" w:hAnsi="Arial" w:cs="Arial"/>
      </w:rPr>
    </w:pPr>
    <w:r>
      <w:rPr>
        <w:sz w:val="16"/>
        <w:szCs w:val="16"/>
        <w:rFonts w:ascii="Arial" w:hAnsi="Arial"/>
      </w:rPr>
      <w:t xml:space="preserve">Ufficio per lo sviluppo del territorio dei Grigioni, versione stato 30.01.2020</w:t>
    </w:r>
  </w:p>
  <w:p w:rsidR="00D72FEB" w:rsidRDefault="00D72F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B6399"/>
    <w:multiLevelType w:val="multilevel"/>
    <w:tmpl w:val="830CFDC4"/>
    <w:lvl w:ilvl="0">
      <w:start w:val="1"/>
      <w:numFmt w:val="decimal"/>
      <w:pStyle w:val="Haupttext2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1D0703"/>
    <w:multiLevelType w:val="hybridMultilevel"/>
    <w:tmpl w:val="3C12FC8E"/>
    <w:lvl w:ilvl="0" w:tplc="C6C05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561A9E"/>
    <w:multiLevelType w:val="hybridMultilevel"/>
    <w:tmpl w:val="FB4C2392"/>
    <w:lvl w:ilvl="0" w:tplc="1CE27A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"/>
    <w:lvlOverride w:ilvl="0">
      <w:startOverride w:val="5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31DBD"/>
    <w:rsid w:val="00074253"/>
    <w:rsid w:val="000F02BC"/>
    <w:rsid w:val="000F780C"/>
    <w:rsid w:val="001037B2"/>
    <w:rsid w:val="00140A90"/>
    <w:rsid w:val="001500CF"/>
    <w:rsid w:val="00161C61"/>
    <w:rsid w:val="00166BB3"/>
    <w:rsid w:val="00267E69"/>
    <w:rsid w:val="002C1B58"/>
    <w:rsid w:val="002C563A"/>
    <w:rsid w:val="002E6DDC"/>
    <w:rsid w:val="00302AC4"/>
    <w:rsid w:val="003162DC"/>
    <w:rsid w:val="00340C8D"/>
    <w:rsid w:val="00377A37"/>
    <w:rsid w:val="00391113"/>
    <w:rsid w:val="003965EC"/>
    <w:rsid w:val="003D745C"/>
    <w:rsid w:val="004D5CD4"/>
    <w:rsid w:val="004F41B0"/>
    <w:rsid w:val="005175D0"/>
    <w:rsid w:val="00534F3F"/>
    <w:rsid w:val="00547B30"/>
    <w:rsid w:val="005864CD"/>
    <w:rsid w:val="005B6EF4"/>
    <w:rsid w:val="005F3113"/>
    <w:rsid w:val="00681B54"/>
    <w:rsid w:val="0070500E"/>
    <w:rsid w:val="007209E1"/>
    <w:rsid w:val="00795230"/>
    <w:rsid w:val="00803250"/>
    <w:rsid w:val="00835CEC"/>
    <w:rsid w:val="0084637E"/>
    <w:rsid w:val="008860FD"/>
    <w:rsid w:val="008E454C"/>
    <w:rsid w:val="00912964"/>
    <w:rsid w:val="009315FC"/>
    <w:rsid w:val="009A0E83"/>
    <w:rsid w:val="009B0A23"/>
    <w:rsid w:val="00A03543"/>
    <w:rsid w:val="00A14DB6"/>
    <w:rsid w:val="00A96ACF"/>
    <w:rsid w:val="00B61298"/>
    <w:rsid w:val="00BC6EE4"/>
    <w:rsid w:val="00C226B2"/>
    <w:rsid w:val="00C50533"/>
    <w:rsid w:val="00C77D7F"/>
    <w:rsid w:val="00CB53E2"/>
    <w:rsid w:val="00CD1CEB"/>
    <w:rsid w:val="00D10FD5"/>
    <w:rsid w:val="00D43E7D"/>
    <w:rsid w:val="00D72FEB"/>
    <w:rsid w:val="00D77288"/>
    <w:rsid w:val="00D84497"/>
    <w:rsid w:val="00DE405E"/>
    <w:rsid w:val="00E72F4E"/>
    <w:rsid w:val="00E90DFA"/>
    <w:rsid w:val="00EA69FC"/>
    <w:rsid w:val="00ED71A9"/>
    <w:rsid w:val="00EE602C"/>
    <w:rsid w:val="00F6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331FCC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F02BC"/>
    <w:pPr>
      <w:pBdr>
        <w:bottom w:val="single" w:sz="4" w:space="1" w:color="auto"/>
      </w:pBdr>
      <w:spacing w:before="840" w:after="600" w:line="312" w:lineRule="auto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0F02BC"/>
    <w:pPr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05E"/>
    <w:pPr>
      <w:spacing w:before="480" w:after="360" w:line="312" w:lineRule="auto"/>
      <w:outlineLvl w:val="2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D72FEB"/>
    <w:pPr>
      <w:spacing w:after="120"/>
    </w:pPr>
    <w:rPr>
      <w:rFonts w:ascii="Arial" w:hAnsi="Arial" w:cs="Arial"/>
      <w:sz w:val="18"/>
    </w:rPr>
  </w:style>
  <w:style w:type="character" w:customStyle="1" w:styleId="FuzeileZchn">
    <w:name w:val="Fußzeile Zchn"/>
    <w:basedOn w:val="Absatz-Standardschriftart"/>
    <w:link w:val="Fuzeile"/>
    <w:rsid w:val="00D72FEB"/>
    <w:rPr>
      <w:rFonts w:ascii="Arial" w:hAnsi="Arial" w:cs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2BC"/>
    <w:rPr>
      <w:rFonts w:ascii="Arial" w:hAnsi="Arial" w:cs="Arial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0F02BC"/>
    <w:rPr>
      <w:rFonts w:ascii="Arial" w:hAnsi="Arial" w:cs="Arial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table" w:styleId="Tabellenraster">
    <w:name w:val="Table Grid"/>
    <w:basedOn w:val="NormaleTabelle"/>
    <w:uiPriority w:val="39"/>
    <w:rsid w:val="0007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83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2F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FEB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72FE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405E"/>
    <w:rPr>
      <w:rFonts w:ascii="Arial" w:hAnsi="Arial" w:cs="Arial"/>
      <w:b/>
      <w:sz w:val="28"/>
      <w:szCs w:val="28"/>
    </w:rPr>
  </w:style>
  <w:style w:type="paragraph" w:customStyle="1" w:styleId="Haupttext2">
    <w:name w:val="Haupttext 2"/>
    <w:basedOn w:val="Listenabsatz"/>
    <w:autoRedefine/>
    <w:qFormat/>
    <w:rsid w:val="003162DC"/>
    <w:pPr>
      <w:numPr>
        <w:numId w:val="6"/>
      </w:numPr>
      <w:spacing w:after="240" w:line="312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ARENavigation xmlns="2d999939-2a46-46d1-8935-28b39244f330">Vollzugshilfen BLM / MWA</ARENavig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8CEE0-EFF9-40BD-8BF2-D61BB1D8FD17}"/>
</file>

<file path=customXml/itemProps2.xml><?xml version="1.0" encoding="utf-8"?>
<ds:datastoreItem xmlns:ds="http://schemas.openxmlformats.org/officeDocument/2006/customXml" ds:itemID="{81DE20FB-D92B-44FB-A2A5-634F58C630BE}"/>
</file>

<file path=customXml/itemProps3.xml><?xml version="1.0" encoding="utf-8"?>
<ds:datastoreItem xmlns:ds="http://schemas.openxmlformats.org/officeDocument/2006/customXml" ds:itemID="{665C0607-9AC5-4296-8447-952437F3ECEB}"/>
</file>

<file path=docProps/app.xml><?xml version="1.0" encoding="utf-8"?>
<Properties xmlns="http://schemas.openxmlformats.org/officeDocument/2006/extended-properties" xmlns:vt="http://schemas.openxmlformats.org/officeDocument/2006/docPropsVTypes">
  <Template>E64E288.dotm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Blocchi di testo per la licenza edilizia (art. 19n LPTC, art. 35m cpv. 1 OPTC)</dc:title>
  <dc:subject/>
  <dc:creator>Corina Caluori</dc:creator>
  <cp:keywords/>
  <dc:description/>
  <cp:lastModifiedBy>Broder Toni</cp:lastModifiedBy>
  <cp:revision>21</cp:revision>
  <cp:lastPrinted>2019-12-12T15:09:00Z</cp:lastPrinted>
  <dcterms:created xsi:type="dcterms:W3CDTF">2019-12-12T09:39:00Z</dcterms:created>
  <dcterms:modified xsi:type="dcterms:W3CDTF">2020-01-30T18:42:00Z</dcterms:modified>
  <cp:category>Tassa sul plusvalore (TPV) – calcolo, accertamento ed esecuzione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