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47E" w:rsidRPr="00E5750E" w:rsidRDefault="004E147E" w:rsidP="004E147E">
      <w:pPr>
        <w:rPr>
          <w:rStyle w:val="Fett"/>
          <w:rFonts w:cs="Arial"/>
          <w:b w:val="0"/>
          <w:i/>
          <w:sz w:val="16"/>
          <w:szCs w:val="16"/>
        </w:rPr>
      </w:pPr>
      <w:bookmarkStart w:id="0" w:name="_GoBack"/>
      <w:bookmarkEnd w:id="0"/>
      <w:r w:rsidRPr="004F5F46">
        <w:rPr>
          <w:rStyle w:val="Fett"/>
          <w:rFonts w:cs="Arial"/>
          <w:i/>
          <w:sz w:val="16"/>
          <w:szCs w:val="16"/>
          <w:highlight w:val="yellow"/>
        </w:rPr>
        <w:t>Modifiche alle versione 1.0</w:t>
      </w:r>
    </w:p>
    <w:p w:rsidR="001874B9" w:rsidRPr="004E147E" w:rsidRDefault="002B2957" w:rsidP="00202D5E">
      <w:pPr>
        <w:pStyle w:val="Titel"/>
        <w:rPr>
          <w:lang w:val="fr-CH"/>
        </w:rPr>
      </w:pPr>
      <w:r w:rsidRPr="004E147E">
        <w:rPr>
          <w:lang w:val="fr-CH"/>
        </w:rPr>
        <w:t>REGOLAMENTO DELLE ZONE DI PROTEZIONE</w:t>
      </w:r>
    </w:p>
    <w:p w:rsidR="00202D5E" w:rsidRPr="002B2957" w:rsidRDefault="002B2957" w:rsidP="00202D5E">
      <w:pPr>
        <w:pStyle w:val="Untertitel"/>
        <w:rPr>
          <w:lang w:val="it-CH"/>
        </w:rPr>
      </w:pPr>
      <w:r w:rsidRPr="002B2957">
        <w:rPr>
          <w:i w:val="0"/>
          <w:lang w:val="it-CH"/>
        </w:rPr>
        <w:t xml:space="preserve">per </w:t>
      </w:r>
      <w:r w:rsidRPr="002B2957">
        <w:rPr>
          <w:lang w:val="it-CH"/>
        </w:rPr>
        <w:t>la(le) captazione(i) di sorgente(i)/acque sotterranee [nome della(e) captazione(i)],</w:t>
      </w:r>
      <w:r w:rsidRPr="002B2957">
        <w:rPr>
          <w:i w:val="0"/>
          <w:lang w:val="it-CH"/>
        </w:rPr>
        <w:t xml:space="preserve"> Comune di </w:t>
      </w:r>
      <w:r w:rsidRPr="002B2957">
        <w:rPr>
          <w:lang w:val="it-CH"/>
        </w:rPr>
        <w:t>[nome]</w:t>
      </w:r>
      <w:r>
        <w:rPr>
          <w:rStyle w:val="Endnotenzeichen"/>
          <w:lang w:val="it-CH"/>
        </w:rPr>
        <w:endnoteReference w:id="1"/>
      </w:r>
    </w:p>
    <w:p w:rsidR="002B2957" w:rsidRDefault="002B2957" w:rsidP="002B2957">
      <w:pPr>
        <w:rPr>
          <w:lang w:val="it-CH"/>
        </w:rPr>
      </w:pPr>
      <w:r w:rsidRPr="002B2957">
        <w:rPr>
          <w:lang w:val="it-CH"/>
        </w:rPr>
        <w:t xml:space="preserve">In virtù dell'art. 20 cpv. 1 della legge federale sulla protezione delle acque (legge sulla protezione delle acque, LPAc) del 24 gennaio 1991, nonché dell'art. 24 della legge d'introduzione della legge federale sulla protezione delle acque (legge cantonale sulla protezione delle acque, LCPAc) dell'8 giugno 1997, </w:t>
      </w:r>
      <w:r w:rsidRPr="002B2957">
        <w:rPr>
          <w:i/>
          <w:lang w:val="it-CH"/>
        </w:rPr>
        <w:t>il Municipio del Comune di [nome del Comune] emana/</w:t>
      </w:r>
      <w:r w:rsidRPr="004E147E">
        <w:rPr>
          <w:i/>
          <w:highlight w:val="yellow"/>
          <w:lang w:val="it-CH"/>
        </w:rPr>
        <w:t>i municipi dei Comuni di [nomi dei Comuni] emanano</w:t>
      </w:r>
      <w:r w:rsidRPr="002B2957">
        <w:rPr>
          <w:lang w:val="it-CH"/>
        </w:rPr>
        <w:t xml:space="preserve"> il seguente regolamento delle zone di protezione:</w:t>
      </w:r>
    </w:p>
    <w:p w:rsidR="002B2957" w:rsidRDefault="002B2957" w:rsidP="002B2957">
      <w:pPr>
        <w:pStyle w:val="berschrift1"/>
        <w:rPr>
          <w:lang w:val="it-CH"/>
        </w:rPr>
      </w:pPr>
      <w:r w:rsidRPr="002B2957">
        <w:rPr>
          <w:lang w:val="it-CH"/>
        </w:rPr>
        <w:t>Disposizioni generali</w:t>
      </w:r>
    </w:p>
    <w:p w:rsidR="002B2957" w:rsidRDefault="002B2957" w:rsidP="002B2957">
      <w:pPr>
        <w:pStyle w:val="Artikel"/>
        <w:rPr>
          <w:lang w:val="it-CH"/>
        </w:rPr>
      </w:pPr>
      <w:r w:rsidRPr="002B2957">
        <w:rPr>
          <w:lang w:val="it-CH"/>
        </w:rPr>
        <w:t>Art. 1</w:t>
      </w:r>
      <w:r w:rsidRPr="002B2957">
        <w:rPr>
          <w:lang w:val="it-CH"/>
        </w:rPr>
        <w:tab/>
        <w:t>Scopo e campo d'applicazione</w:t>
      </w:r>
    </w:p>
    <w:p w:rsidR="002B2957" w:rsidRPr="002B2957" w:rsidRDefault="002B2957" w:rsidP="002B2957">
      <w:pPr>
        <w:rPr>
          <w:lang w:val="it-IT"/>
        </w:rPr>
      </w:pPr>
      <w:r w:rsidRPr="002B2957">
        <w:rPr>
          <w:rStyle w:val="Hochgestellt"/>
          <w:lang w:val="it-CH"/>
        </w:rPr>
        <w:t>1</w:t>
      </w:r>
      <w:r>
        <w:rPr>
          <w:lang w:val="it-IT"/>
        </w:rPr>
        <w:t xml:space="preserve"> </w:t>
      </w:r>
      <w:r w:rsidRPr="002B2957">
        <w:rPr>
          <w:lang w:val="it-IT"/>
        </w:rPr>
        <w:t xml:space="preserve">Il presente regolamento stabilisce le restrizioni d'utilizzazione e le misure di protezione necessarie a tutela delle acque sotterranee </w:t>
      </w:r>
      <w:r>
        <w:rPr>
          <w:lang w:val="it-IT"/>
        </w:rPr>
        <w:t>utilizzate come acqua potabile.</w:t>
      </w:r>
    </w:p>
    <w:p w:rsidR="002B2957" w:rsidRPr="002B2957" w:rsidRDefault="002B2957" w:rsidP="002B2957">
      <w:pPr>
        <w:rPr>
          <w:lang w:val="it-IT"/>
        </w:rPr>
      </w:pPr>
      <w:r w:rsidRPr="00C10CBF">
        <w:rPr>
          <w:rStyle w:val="Hochgestellt"/>
          <w:lang w:val="it-CH"/>
        </w:rPr>
        <w:t>2</w:t>
      </w:r>
      <w:r>
        <w:rPr>
          <w:lang w:val="it-IT"/>
        </w:rPr>
        <w:t xml:space="preserve"> </w:t>
      </w:r>
      <w:r w:rsidRPr="002B2957">
        <w:rPr>
          <w:lang w:val="it-IT"/>
        </w:rPr>
        <w:t xml:space="preserve">Il regolamento vale per le aree definite </w:t>
      </w:r>
      <w:r w:rsidRPr="002B2957">
        <w:rPr>
          <w:i/>
          <w:lang w:val="it-IT"/>
        </w:rPr>
        <w:t>(nel piano/nei piani delle zone di protezione [nome della(e) captazione(i)])</w:t>
      </w:r>
      <w:r w:rsidRPr="002B2957">
        <w:rPr>
          <w:lang w:val="it-IT"/>
        </w:rPr>
        <w:t xml:space="preserve"> del </w:t>
      </w:r>
      <w:r w:rsidRPr="002B2957">
        <w:rPr>
          <w:i/>
          <w:lang w:val="it-IT"/>
        </w:rPr>
        <w:t>[data]</w:t>
      </w:r>
      <w:r w:rsidRPr="002B2957">
        <w:rPr>
          <w:lang w:val="it-IT"/>
        </w:rPr>
        <w:t>, scala 1:</w:t>
      </w:r>
      <w:r w:rsidRPr="002B2957">
        <w:rPr>
          <w:i/>
          <w:lang w:val="it-IT"/>
        </w:rPr>
        <w:t>[scala].</w:t>
      </w:r>
    </w:p>
    <w:p w:rsidR="002B2957" w:rsidRPr="002B2957" w:rsidRDefault="002B2957" w:rsidP="002B2957">
      <w:pPr>
        <w:rPr>
          <w:lang w:val="it-IT"/>
        </w:rPr>
      </w:pPr>
      <w:r w:rsidRPr="002B2957">
        <w:rPr>
          <w:rStyle w:val="Hochgestellt"/>
          <w:lang w:val="it-CH"/>
        </w:rPr>
        <w:t>3</w:t>
      </w:r>
      <w:r>
        <w:rPr>
          <w:lang w:val="it-IT"/>
        </w:rPr>
        <w:t xml:space="preserve"> </w:t>
      </w:r>
      <w:r w:rsidRPr="002B2957">
        <w:rPr>
          <w:lang w:val="it-IT"/>
        </w:rPr>
        <w:t>La zona di protezione delle acque sott</w:t>
      </w:r>
      <w:r>
        <w:rPr>
          <w:lang w:val="it-IT"/>
        </w:rPr>
        <w:t>erranee (zona S) è suddivisa in</w:t>
      </w:r>
      <w:r>
        <w:rPr>
          <w:rStyle w:val="Endnotenzeichen"/>
          <w:lang w:val="it-IT"/>
        </w:rPr>
        <w:endnoteReference w:id="2"/>
      </w:r>
      <w:r w:rsidRPr="002B2957">
        <w:rPr>
          <w:lang w:val="it-IT"/>
        </w:rPr>
        <w:t>:</w:t>
      </w:r>
    </w:p>
    <w:p w:rsidR="002B2957" w:rsidRPr="002B2957" w:rsidRDefault="002B2957" w:rsidP="002B2957">
      <w:pPr>
        <w:pStyle w:val="AufzhlungStriche"/>
        <w:rPr>
          <w:lang w:val="it-IT"/>
        </w:rPr>
      </w:pPr>
      <w:r w:rsidRPr="002B2957">
        <w:rPr>
          <w:lang w:val="it-IT"/>
        </w:rPr>
        <w:t>zona di captazione</w:t>
      </w:r>
      <w:r>
        <w:rPr>
          <w:lang w:val="it-IT"/>
        </w:rPr>
        <w:tab/>
      </w:r>
      <w:r w:rsidRPr="002B2957">
        <w:rPr>
          <w:lang w:val="it-IT"/>
        </w:rPr>
        <w:t>zona S1</w:t>
      </w:r>
    </w:p>
    <w:p w:rsidR="002B2957" w:rsidRPr="002B2957" w:rsidRDefault="002B2957" w:rsidP="002B2957">
      <w:pPr>
        <w:pStyle w:val="AufzhlungStriche"/>
        <w:rPr>
          <w:lang w:val="it-IT"/>
        </w:rPr>
      </w:pPr>
      <w:r>
        <w:rPr>
          <w:lang w:val="it-IT"/>
        </w:rPr>
        <w:t>zona di protezione adiacente</w:t>
      </w:r>
      <w:r w:rsidRPr="002B2957">
        <w:rPr>
          <w:lang w:val="it-IT"/>
        </w:rPr>
        <w:tab/>
        <w:t>zona S2</w:t>
      </w:r>
    </w:p>
    <w:p w:rsidR="002B2957" w:rsidRPr="002B2957" w:rsidRDefault="002B2957" w:rsidP="002B2957">
      <w:pPr>
        <w:pStyle w:val="AufzhlungStriche"/>
        <w:rPr>
          <w:lang w:val="it-IT"/>
        </w:rPr>
      </w:pPr>
      <w:r>
        <w:rPr>
          <w:lang w:val="it-IT"/>
        </w:rPr>
        <w:t>zona di protezione distante</w:t>
      </w:r>
      <w:r w:rsidRPr="002B2957">
        <w:rPr>
          <w:lang w:val="it-IT"/>
        </w:rPr>
        <w:tab/>
        <w:t>zona S3</w:t>
      </w:r>
    </w:p>
    <w:p w:rsidR="002B2957" w:rsidRPr="002B2957" w:rsidRDefault="002B2957" w:rsidP="002B2957">
      <w:pPr>
        <w:rPr>
          <w:lang w:val="it-IT"/>
        </w:rPr>
      </w:pPr>
      <w:r w:rsidRPr="002B2957">
        <w:rPr>
          <w:rStyle w:val="Hochgestellt"/>
          <w:lang w:val="it-CH"/>
        </w:rPr>
        <w:t>4</w:t>
      </w:r>
      <w:r>
        <w:rPr>
          <w:lang w:val="it-IT"/>
        </w:rPr>
        <w:t xml:space="preserve"> </w:t>
      </w:r>
      <w:r w:rsidRPr="002B2957">
        <w:rPr>
          <w:lang w:val="it-IT"/>
        </w:rPr>
        <w:t>Le zone di protezione delle acque sotterranee servono a proteggere da pregiudizi qualitativi e quantitativi le captazioni di acque sotterranee e di sorgenti immediatamente prima del loro</w:t>
      </w:r>
      <w:r>
        <w:rPr>
          <w:lang w:val="it-IT"/>
        </w:rPr>
        <w:t xml:space="preserve"> utilizzo quale acqua potabile</w:t>
      </w:r>
      <w:r>
        <w:rPr>
          <w:rStyle w:val="Endnotenzeichen"/>
          <w:lang w:val="it-IT"/>
        </w:rPr>
        <w:endnoteReference w:id="3"/>
      </w:r>
      <w:r>
        <w:rPr>
          <w:lang w:val="it-IT"/>
        </w:rPr>
        <w:t>.</w:t>
      </w:r>
    </w:p>
    <w:p w:rsidR="002B2957" w:rsidRPr="002B2957" w:rsidRDefault="002B2957" w:rsidP="002B2957">
      <w:pPr>
        <w:rPr>
          <w:lang w:val="it-IT"/>
        </w:rPr>
      </w:pPr>
      <w:r w:rsidRPr="00C10CBF">
        <w:rPr>
          <w:rStyle w:val="Hochgestellt"/>
          <w:lang w:val="it-CH"/>
        </w:rPr>
        <w:t>5</w:t>
      </w:r>
      <w:r>
        <w:rPr>
          <w:lang w:val="it-IT"/>
        </w:rPr>
        <w:t xml:space="preserve"> </w:t>
      </w:r>
      <w:r w:rsidRPr="002B2957">
        <w:rPr>
          <w:lang w:val="it-IT"/>
        </w:rPr>
        <w:t xml:space="preserve">La base per le zone di protezione per </w:t>
      </w:r>
      <w:r w:rsidRPr="002B2957">
        <w:rPr>
          <w:i/>
          <w:lang w:val="it-IT"/>
        </w:rPr>
        <w:t xml:space="preserve">la(le) captazione(i) di sorgente(i)/acque sotterranee [nome della(e) captazione(i)] </w:t>
      </w:r>
      <w:r w:rsidRPr="002B2957">
        <w:rPr>
          <w:lang w:val="it-IT"/>
        </w:rPr>
        <w:t xml:space="preserve">è costituita dal rapporto idrogeologico di </w:t>
      </w:r>
      <w:r w:rsidRPr="002B2957">
        <w:rPr>
          <w:i/>
          <w:lang w:val="it-IT"/>
        </w:rPr>
        <w:t>[nome dell'estensore del rapporto o della ditta]</w:t>
      </w:r>
      <w:r w:rsidRPr="002B2957">
        <w:rPr>
          <w:lang w:val="it-IT"/>
        </w:rPr>
        <w:t xml:space="preserve"> del </w:t>
      </w:r>
      <w:r w:rsidRPr="002B2957">
        <w:rPr>
          <w:i/>
          <w:lang w:val="it-IT"/>
        </w:rPr>
        <w:t>[data].</w:t>
      </w:r>
    </w:p>
    <w:p w:rsidR="002B2957" w:rsidRPr="002B2957" w:rsidRDefault="002B2957" w:rsidP="002B2957">
      <w:pPr>
        <w:spacing w:after="240"/>
        <w:rPr>
          <w:lang w:val="it-IT"/>
        </w:rPr>
      </w:pPr>
      <w:r w:rsidRPr="00C10CBF">
        <w:rPr>
          <w:rStyle w:val="Hochgestellt"/>
          <w:lang w:val="it-CH"/>
        </w:rPr>
        <w:t>6</w:t>
      </w:r>
      <w:r>
        <w:rPr>
          <w:lang w:val="it-IT"/>
        </w:rPr>
        <w:t xml:space="preserve"> </w:t>
      </w:r>
      <w:r w:rsidRPr="002B2957">
        <w:rPr>
          <w:lang w:val="it-IT"/>
        </w:rPr>
        <w:t>Le designazioni di persone utilizzate nel presente regolamento si riferiscono a persone di entrambi i sessi.</w:t>
      </w:r>
    </w:p>
    <w:p w:rsidR="002B2957" w:rsidRDefault="002B2957" w:rsidP="002B2957">
      <w:pPr>
        <w:pStyle w:val="Artikel"/>
        <w:rPr>
          <w:lang w:val="it-CH"/>
        </w:rPr>
      </w:pPr>
      <w:r w:rsidRPr="002B2957">
        <w:rPr>
          <w:lang w:val="it-CH"/>
        </w:rPr>
        <w:t>Art. 2</w:t>
      </w:r>
      <w:r w:rsidRPr="002B2957">
        <w:rPr>
          <w:lang w:val="it-CH"/>
        </w:rPr>
        <w:tab/>
        <w:t>Basi legali, ausili per l'esecuzione e norme</w:t>
      </w:r>
    </w:p>
    <w:p w:rsidR="002B2957" w:rsidRPr="002B2957" w:rsidRDefault="002B2957" w:rsidP="002B2957">
      <w:pPr>
        <w:rPr>
          <w:lang w:val="it-CH"/>
        </w:rPr>
      </w:pPr>
      <w:r w:rsidRPr="002B2957">
        <w:rPr>
          <w:rStyle w:val="Hochgestellt"/>
          <w:lang w:val="it-CH"/>
        </w:rPr>
        <w:t>1</w:t>
      </w:r>
      <w:r>
        <w:rPr>
          <w:lang w:val="it-CH"/>
        </w:rPr>
        <w:t xml:space="preserve"> </w:t>
      </w:r>
      <w:r w:rsidRPr="002B2957">
        <w:rPr>
          <w:lang w:val="it-CH"/>
        </w:rPr>
        <w:t>L'appendice 1 contiene le basi legali determinanti di Confederazione e Cantone che concernono le zone di protezione delle acque sotterranee e l'acqua potabile. Sono vinc</w:t>
      </w:r>
      <w:r w:rsidR="001F3907">
        <w:rPr>
          <w:lang w:val="it-CH"/>
        </w:rPr>
        <w:t>olanti le prescrizioni attuali.</w:t>
      </w:r>
    </w:p>
    <w:p w:rsidR="002B2957" w:rsidRDefault="002B2957" w:rsidP="002B2957">
      <w:pPr>
        <w:rPr>
          <w:lang w:val="it-CH"/>
        </w:rPr>
      </w:pPr>
      <w:r w:rsidRPr="002B2957">
        <w:rPr>
          <w:rStyle w:val="Hochgestellt"/>
          <w:lang w:val="it-CH"/>
        </w:rPr>
        <w:lastRenderedPageBreak/>
        <w:t>2</w:t>
      </w:r>
      <w:r>
        <w:rPr>
          <w:lang w:val="it-CH"/>
        </w:rPr>
        <w:t xml:space="preserve"> </w:t>
      </w:r>
      <w:r w:rsidRPr="002B2957">
        <w:rPr>
          <w:lang w:val="it-CH"/>
        </w:rPr>
        <w:t>Nell'applicazione del regolamento vanno considerate le istruzioni pratiche dell'Ufficio federale dell'ambiente concernenti la pro</w:t>
      </w:r>
      <w:r w:rsidR="001F3907">
        <w:rPr>
          <w:lang w:val="it-CH"/>
        </w:rPr>
        <w:t>tezione delle acque sotterranee</w:t>
      </w:r>
      <w:r w:rsidR="001F3907">
        <w:rPr>
          <w:rStyle w:val="Endnotenzeichen"/>
          <w:lang w:val="it-CH"/>
        </w:rPr>
        <w:endnoteReference w:id="4"/>
      </w:r>
      <w:r w:rsidRPr="002B2957">
        <w:rPr>
          <w:lang w:val="it-CH"/>
        </w:rPr>
        <w:t>, così come gli altri ausi</w:t>
      </w:r>
      <w:r w:rsidR="001F3907">
        <w:rPr>
          <w:lang w:val="it-CH"/>
        </w:rPr>
        <w:t>li per l'esecu</w:t>
      </w:r>
      <w:r w:rsidRPr="002B2957">
        <w:rPr>
          <w:lang w:val="it-CH"/>
        </w:rPr>
        <w:t>zione e le norme menzionati nell'appendice 1.</w:t>
      </w:r>
    </w:p>
    <w:p w:rsidR="002B2957" w:rsidRDefault="001F3907" w:rsidP="001F3907">
      <w:pPr>
        <w:pStyle w:val="Artikel"/>
        <w:rPr>
          <w:lang w:val="it-CH"/>
        </w:rPr>
      </w:pPr>
      <w:r w:rsidRPr="001F3907">
        <w:rPr>
          <w:lang w:val="it-CH"/>
        </w:rPr>
        <w:t>Art. 3</w:t>
      </w:r>
      <w:r w:rsidRPr="001F3907">
        <w:rPr>
          <w:lang w:val="it-CH"/>
        </w:rPr>
        <w:tab/>
        <w:t>Competenza per l'esecuzione</w:t>
      </w:r>
    </w:p>
    <w:p w:rsidR="001F3907" w:rsidRPr="001F3907" w:rsidRDefault="001F3907" w:rsidP="001F3907">
      <w:pPr>
        <w:rPr>
          <w:lang w:val="it-CH"/>
        </w:rPr>
      </w:pPr>
      <w:r w:rsidRPr="001F3907">
        <w:rPr>
          <w:rStyle w:val="Hochgestellt"/>
          <w:lang w:val="it-CH"/>
        </w:rPr>
        <w:t>1</w:t>
      </w:r>
      <w:r>
        <w:rPr>
          <w:lang w:val="it-CH"/>
        </w:rPr>
        <w:t xml:space="preserve"> </w:t>
      </w:r>
      <w:r w:rsidRPr="001F3907">
        <w:rPr>
          <w:lang w:val="it-CH"/>
        </w:rPr>
        <w:t>Il municipio è competente per l'esecuzione del regolamento, se il diritto di rango superiore non dichiara competente un'altra autorità</w:t>
      </w:r>
      <w:r>
        <w:rPr>
          <w:rStyle w:val="Endnotenzeichen"/>
          <w:lang w:val="it-CH"/>
        </w:rPr>
        <w:endnoteReference w:id="5"/>
      </w:r>
      <w:r w:rsidRPr="001F3907">
        <w:rPr>
          <w:lang w:val="it-CH"/>
        </w:rPr>
        <w:t>. Se esiste un pericolo concreto per le acque sotterranee, esso può ordinare restrizioni d'utilizzazione e misure di protezione non espressamen</w:t>
      </w:r>
      <w:r>
        <w:rPr>
          <w:lang w:val="it-CH"/>
        </w:rPr>
        <w:t>te previste nel pre</w:t>
      </w:r>
      <w:r w:rsidRPr="001F3907">
        <w:rPr>
          <w:lang w:val="it-CH"/>
        </w:rPr>
        <w:t>sente regolamento.</w:t>
      </w:r>
    </w:p>
    <w:p w:rsidR="001F3907" w:rsidRPr="001F3907" w:rsidRDefault="001F3907" w:rsidP="001F3907">
      <w:pPr>
        <w:rPr>
          <w:lang w:val="it-CH"/>
        </w:rPr>
      </w:pPr>
      <w:r w:rsidRPr="001F3907">
        <w:rPr>
          <w:rStyle w:val="Hochgestellt"/>
          <w:lang w:val="it-CH"/>
        </w:rPr>
        <w:t>2</w:t>
      </w:r>
      <w:r>
        <w:rPr>
          <w:lang w:val="it-CH"/>
        </w:rPr>
        <w:t xml:space="preserve"> </w:t>
      </w:r>
      <w:r w:rsidRPr="001F3907">
        <w:rPr>
          <w:lang w:val="it-CH"/>
        </w:rPr>
        <w:t>La costruzione e la modifica di costruzioni e impianti di ogni tipo (edilizia e genio civile, impianti per le acque di scarico, vie di comunicazione, impianti sportivi, impianti per il deposito di liquidi a potenziale rischio di inquinamento delle acque, vivai, modifiche del terreno, depositi di materiale, discari-che, ecc.), nonché lavori di scavo, di sterro e simili necessitano di un'autorizzazione cantonale in materia di diritto sulla protezione delle acque, se presentano un potenziale rischio di inquinamento delle acque</w:t>
      </w:r>
      <w:r>
        <w:rPr>
          <w:rStyle w:val="Endnotenzeichen"/>
          <w:lang w:val="it-CH"/>
        </w:rPr>
        <w:endnoteReference w:id="6"/>
      </w:r>
      <w:r w:rsidRPr="001F3907">
        <w:rPr>
          <w:lang w:val="it-CH"/>
        </w:rPr>
        <w:t>. Questa autorizzazione viene rilasciata dall'ufficio cantonale preposto alla protezione delle acque (ufficio)</w:t>
      </w:r>
      <w:r>
        <w:rPr>
          <w:rStyle w:val="Endnotenzeichen"/>
          <w:lang w:val="it-CH"/>
        </w:rPr>
        <w:endnoteReference w:id="7"/>
      </w:r>
      <w:r w:rsidRPr="001F3907">
        <w:rPr>
          <w:lang w:val="it-CH"/>
        </w:rPr>
        <w:t xml:space="preserve"> </w:t>
      </w:r>
      <w:r>
        <w:rPr>
          <w:rStyle w:val="Endnotenzeichen"/>
          <w:lang w:val="it-CH"/>
        </w:rPr>
        <w:endnoteReference w:id="8"/>
      </w:r>
      <w:r w:rsidRPr="001F3907">
        <w:rPr>
          <w:lang w:val="it-CH"/>
        </w:rPr>
        <w:t>, se il diritto di rango superiore non dichiara competente un'altra autorità</w:t>
      </w:r>
      <w:r>
        <w:rPr>
          <w:rStyle w:val="Endnotenzeichen"/>
          <w:lang w:val="it-CH"/>
        </w:rPr>
        <w:endnoteReference w:id="9"/>
      </w:r>
      <w:r w:rsidRPr="001F3907">
        <w:rPr>
          <w:lang w:val="it-CH"/>
        </w:rPr>
        <w:t>.</w:t>
      </w:r>
    </w:p>
    <w:p w:rsidR="002B2957" w:rsidRDefault="001F3907" w:rsidP="001F3907">
      <w:pPr>
        <w:rPr>
          <w:lang w:val="it-CH"/>
        </w:rPr>
      </w:pPr>
      <w:r w:rsidRPr="001F3907">
        <w:rPr>
          <w:rStyle w:val="Hochgestellt"/>
          <w:lang w:val="it-CH"/>
        </w:rPr>
        <w:t>3</w:t>
      </w:r>
      <w:r>
        <w:rPr>
          <w:lang w:val="it-CH"/>
        </w:rPr>
        <w:t xml:space="preserve"> </w:t>
      </w:r>
      <w:r w:rsidRPr="001F3907">
        <w:rPr>
          <w:lang w:val="it-CH"/>
        </w:rPr>
        <w:t>I progetti conformemente al capoverso 2 vanno sottoposti all'ufficio tramite il comune</w:t>
      </w:r>
      <w:r>
        <w:rPr>
          <w:rStyle w:val="Endnotenzeichen"/>
          <w:lang w:val="it-CH"/>
        </w:rPr>
        <w:endnoteReference w:id="10"/>
      </w:r>
      <w:r>
        <w:rPr>
          <w:lang w:val="it-CH"/>
        </w:rPr>
        <w:t xml:space="preserve">. </w:t>
      </w:r>
      <w:r w:rsidRPr="001F3907">
        <w:rPr>
          <w:lang w:val="it-CH"/>
        </w:rPr>
        <w:t>L'ufficio decide in merito alla necessità di un'autorizzazione in materia di diritto sulla protezione delle acque.</w:t>
      </w:r>
    </w:p>
    <w:p w:rsidR="002B2957" w:rsidRDefault="001F3907" w:rsidP="001F3907">
      <w:pPr>
        <w:pStyle w:val="Artikel"/>
        <w:rPr>
          <w:lang w:val="it-CH"/>
        </w:rPr>
      </w:pPr>
      <w:r w:rsidRPr="001F3907">
        <w:rPr>
          <w:lang w:val="it-CH"/>
        </w:rPr>
        <w:t>Art. 4</w:t>
      </w:r>
      <w:r w:rsidRPr="001F3907">
        <w:rPr>
          <w:lang w:val="it-CH"/>
        </w:rPr>
        <w:tab/>
        <w:t>Controllo del rispetto delle prescrizioni relative alle zone di protezione</w:t>
      </w:r>
    </w:p>
    <w:p w:rsidR="001F3907" w:rsidRPr="001F3907" w:rsidRDefault="001F3907" w:rsidP="001F3907">
      <w:pPr>
        <w:rPr>
          <w:lang w:val="it-CH"/>
        </w:rPr>
      </w:pPr>
      <w:r w:rsidRPr="001F3907">
        <w:rPr>
          <w:i/>
          <w:lang w:val="it-CH"/>
        </w:rPr>
        <w:t>Il responsabile dell'acquedotto/[altra persona responsabile per l'approvvigionamento idrico, indicare quale]</w:t>
      </w:r>
      <w:r w:rsidRPr="001F3907">
        <w:rPr>
          <w:lang w:val="it-CH"/>
        </w:rPr>
        <w:t>, controlla il rispetto delle prescrizioni relative alle zone di protezione e segnala immediatamente le relative infrazioni al municipio, che adotta le misure necessarie.</w:t>
      </w:r>
    </w:p>
    <w:p w:rsidR="001F3907" w:rsidRPr="001F3907" w:rsidRDefault="001F3907" w:rsidP="001F3907">
      <w:pPr>
        <w:rPr>
          <w:rStyle w:val="FormatvorlageKursiv"/>
          <w:lang w:val="it-CH"/>
        </w:rPr>
      </w:pPr>
      <w:r w:rsidRPr="001F3907">
        <w:rPr>
          <w:rStyle w:val="FormatvorlageKursiv"/>
          <w:lang w:val="it-CH"/>
        </w:rPr>
        <w:t xml:space="preserve">Variante: </w:t>
      </w:r>
    </w:p>
    <w:p w:rsidR="002B2957" w:rsidRPr="001F3907" w:rsidRDefault="001F3907" w:rsidP="001F3907">
      <w:pPr>
        <w:pStyle w:val="StandardmitEinzug"/>
        <w:rPr>
          <w:i/>
          <w:lang w:val="it-CH"/>
        </w:rPr>
      </w:pPr>
      <w:r w:rsidRPr="001F3907">
        <w:rPr>
          <w:i/>
          <w:lang w:val="it-CH"/>
        </w:rPr>
        <w:t xml:space="preserve">Il responsabile dell'acquedotto/[altra persona responsabile per l'approvvigionamento idrico, indicare quale] e un rappresentante del comune [indicare la persona responsabile, p.es. capo dell'ufficio tecnico, capofficina, municipale competente] </w:t>
      </w:r>
      <w:r w:rsidRPr="001F3907">
        <w:rPr>
          <w:lang w:val="it-CH"/>
        </w:rPr>
        <w:t>controllano il rispetto delle prescrizioni relative alle zone di protezione e segnalano immediatamente le relative infrazioni al municipio, che adotta le misure necessarie.</w:t>
      </w:r>
    </w:p>
    <w:p w:rsidR="002B2957" w:rsidRDefault="001F3907" w:rsidP="001F3907">
      <w:pPr>
        <w:pStyle w:val="Artikel"/>
        <w:rPr>
          <w:lang w:val="it-CH"/>
        </w:rPr>
      </w:pPr>
      <w:r w:rsidRPr="001F3907">
        <w:rPr>
          <w:lang w:val="it-CH"/>
        </w:rPr>
        <w:t>Art. 5</w:t>
      </w:r>
      <w:r w:rsidRPr="001F3907">
        <w:rPr>
          <w:lang w:val="it-CH"/>
        </w:rPr>
        <w:tab/>
        <w:t>Controllo della qualità dell'acqua potabile</w:t>
      </w:r>
    </w:p>
    <w:p w:rsidR="002B2957" w:rsidRPr="001F3907" w:rsidRDefault="001F3907" w:rsidP="002B2957">
      <w:pPr>
        <w:rPr>
          <w:lang w:val="it-IT"/>
        </w:rPr>
      </w:pPr>
      <w:r w:rsidRPr="001F3907">
        <w:rPr>
          <w:lang w:val="it-IT"/>
        </w:rPr>
        <w:t xml:space="preserve">La qualità dell'acqua deve essere esaminata a scadenze regolari, nel quadro del controllo autonomo. L'entità degli esami si conforma alla legislazione sulle derrate alimentari </w:t>
      </w:r>
      <w:r>
        <w:rPr>
          <w:rStyle w:val="Endnotenzeichen"/>
          <w:lang w:val="it-IT"/>
        </w:rPr>
        <w:endnoteReference w:id="11"/>
      </w:r>
      <w:r w:rsidRPr="001F3907">
        <w:rPr>
          <w:lang w:val="it-IT"/>
        </w:rPr>
        <w:t>, all'ordi</w:t>
      </w:r>
      <w:r>
        <w:rPr>
          <w:lang w:val="it-IT"/>
        </w:rPr>
        <w:t>nanza sulla prote</w:t>
      </w:r>
      <w:r w:rsidRPr="001F3907">
        <w:rPr>
          <w:lang w:val="it-IT"/>
        </w:rPr>
        <w:t xml:space="preserve">zione delle acque </w:t>
      </w:r>
      <w:r>
        <w:rPr>
          <w:rStyle w:val="Endnotenzeichen"/>
          <w:lang w:val="it-IT"/>
        </w:rPr>
        <w:endnoteReference w:id="12"/>
      </w:r>
      <w:r w:rsidRPr="001F3907">
        <w:rPr>
          <w:lang w:val="it-IT"/>
        </w:rPr>
        <w:t xml:space="preserve">, nonché alle direttive della Società svizzera dell'industria del gas e delle acque (SSIGA) </w:t>
      </w:r>
      <w:r>
        <w:rPr>
          <w:rStyle w:val="Endnotenzeichen"/>
          <w:lang w:val="it-IT"/>
        </w:rPr>
        <w:endnoteReference w:id="13"/>
      </w:r>
      <w:r w:rsidRPr="001F3907">
        <w:rPr>
          <w:lang w:val="it-IT"/>
        </w:rPr>
        <w:t>.</w:t>
      </w:r>
    </w:p>
    <w:p w:rsidR="002B2957" w:rsidRDefault="001F3907" w:rsidP="001F3907">
      <w:pPr>
        <w:pStyle w:val="Artikel"/>
        <w:rPr>
          <w:lang w:val="it-CH"/>
        </w:rPr>
      </w:pPr>
      <w:r w:rsidRPr="001F3907">
        <w:rPr>
          <w:lang w:val="it-CH"/>
        </w:rPr>
        <w:t>Art. 6</w:t>
      </w:r>
      <w:r w:rsidRPr="001F3907">
        <w:rPr>
          <w:lang w:val="it-CH"/>
        </w:rPr>
        <w:tab/>
        <w:t>Obbligo di informazione</w:t>
      </w:r>
    </w:p>
    <w:p w:rsidR="002B2957" w:rsidRDefault="001F3907" w:rsidP="002B2957">
      <w:pPr>
        <w:rPr>
          <w:lang w:val="it-CH"/>
        </w:rPr>
      </w:pPr>
      <w:r w:rsidRPr="001F3907">
        <w:rPr>
          <w:lang w:val="it-CH"/>
        </w:rPr>
        <w:t>I proprietari di fondi nelle zone di protezione delle acque sotterranee S1, S2 e S3 sono tenuti a informare affittuari, inquilini e usufruttuari, nonché altre persone e imprese che eseguono lavori sui fondi, in merito a restrizioni d'utilizzazione e a misure di protezione.</w:t>
      </w:r>
    </w:p>
    <w:p w:rsidR="002B2957" w:rsidRDefault="001F3907" w:rsidP="004E147E">
      <w:pPr>
        <w:pStyle w:val="berschrift1"/>
        <w:ind w:left="357" w:hanging="357"/>
        <w:rPr>
          <w:lang w:val="it-CH"/>
        </w:rPr>
      </w:pPr>
      <w:r w:rsidRPr="001F3907">
        <w:rPr>
          <w:lang w:val="it-CH"/>
        </w:rPr>
        <w:lastRenderedPageBreak/>
        <w:t>Restrizioni d'utilizzazione e misure di protezione</w:t>
      </w:r>
    </w:p>
    <w:p w:rsidR="002B2957" w:rsidRDefault="001F3907" w:rsidP="001F3907">
      <w:pPr>
        <w:pStyle w:val="Artikel"/>
        <w:rPr>
          <w:lang w:val="it-CH"/>
        </w:rPr>
      </w:pPr>
      <w:r w:rsidRPr="001F3907">
        <w:rPr>
          <w:lang w:val="it-CH"/>
        </w:rPr>
        <w:t>Art. 7</w:t>
      </w:r>
      <w:r w:rsidRPr="001F3907">
        <w:rPr>
          <w:lang w:val="it-CH"/>
        </w:rPr>
        <w:tab/>
        <w:t>Principio</w:t>
      </w:r>
    </w:p>
    <w:p w:rsidR="001F3907" w:rsidRPr="001F3907" w:rsidRDefault="001F3907" w:rsidP="001F3907">
      <w:pPr>
        <w:rPr>
          <w:lang w:val="it-CH"/>
        </w:rPr>
      </w:pPr>
      <w:r w:rsidRPr="00361BF9">
        <w:rPr>
          <w:rStyle w:val="Hochgestellt"/>
          <w:lang w:val="it-CH"/>
        </w:rPr>
        <w:t>1</w:t>
      </w:r>
      <w:r>
        <w:rPr>
          <w:lang w:val="it-CH"/>
        </w:rPr>
        <w:t xml:space="preserve"> </w:t>
      </w:r>
      <w:r w:rsidRPr="001F3907">
        <w:rPr>
          <w:lang w:val="it-CH"/>
        </w:rPr>
        <w:t>Non sono ammessi costruzioni e impianti, nonché utilizzazioni dai quali può derivare una minaccia per le acque sotterrane</w:t>
      </w:r>
      <w:r>
        <w:rPr>
          <w:lang w:val="it-CH"/>
        </w:rPr>
        <w:t>e captate quale acqua potabile.</w:t>
      </w:r>
    </w:p>
    <w:p w:rsidR="001F3907" w:rsidRPr="001F3907" w:rsidRDefault="001F3907" w:rsidP="001F3907">
      <w:pPr>
        <w:rPr>
          <w:lang w:val="it-CH"/>
        </w:rPr>
      </w:pPr>
      <w:r w:rsidRPr="00361BF9">
        <w:rPr>
          <w:rStyle w:val="Hochgestellt"/>
          <w:lang w:val="it-CH"/>
        </w:rPr>
        <w:t>2</w:t>
      </w:r>
      <w:r>
        <w:rPr>
          <w:lang w:val="it-CH"/>
        </w:rPr>
        <w:t xml:space="preserve"> </w:t>
      </w:r>
      <w:r w:rsidRPr="001F3907">
        <w:rPr>
          <w:lang w:val="it-CH"/>
        </w:rPr>
        <w:t>Le restrizioni d'utilizzazione e le misure di protezione valgono per co</w:t>
      </w:r>
      <w:r w:rsidR="00C10CBF">
        <w:rPr>
          <w:lang w:val="it-CH"/>
        </w:rPr>
        <w:t>struzioni e impianti nuovi, non</w:t>
      </w:r>
      <w:r w:rsidRPr="001F3907">
        <w:rPr>
          <w:lang w:val="it-CH"/>
        </w:rPr>
        <w:t>ché per costruzioni e impianti esistenti, se vengono modificati considerevolmen</w:t>
      </w:r>
      <w:r>
        <w:rPr>
          <w:lang w:val="it-CH"/>
        </w:rPr>
        <w:t>te.</w:t>
      </w:r>
    </w:p>
    <w:p w:rsidR="001F3907" w:rsidRPr="001F3907" w:rsidRDefault="001F3907" w:rsidP="001F3907">
      <w:pPr>
        <w:rPr>
          <w:lang w:val="it-CH"/>
        </w:rPr>
      </w:pPr>
      <w:r w:rsidRPr="00361BF9">
        <w:rPr>
          <w:rStyle w:val="Hochgestellt"/>
          <w:lang w:val="it-CH"/>
        </w:rPr>
        <w:t>3</w:t>
      </w:r>
      <w:r>
        <w:rPr>
          <w:lang w:val="it-CH"/>
        </w:rPr>
        <w:t xml:space="preserve"> </w:t>
      </w:r>
      <w:r w:rsidRPr="001F3907">
        <w:rPr>
          <w:lang w:val="it-CH"/>
        </w:rPr>
        <w:t>Difetti di costruzioni e impianti che rappresentano un rischio concreto per le acque sotterranee devono essere eliminati senza indugio dal titolare della costruzione o dell'impianto.</w:t>
      </w:r>
    </w:p>
    <w:p w:rsidR="002B2957" w:rsidRDefault="001F3907" w:rsidP="001F3907">
      <w:pPr>
        <w:rPr>
          <w:lang w:val="it-CH"/>
        </w:rPr>
      </w:pPr>
      <w:r w:rsidRPr="00361BF9">
        <w:rPr>
          <w:rStyle w:val="Hochgestellt"/>
          <w:lang w:val="it-CH"/>
        </w:rPr>
        <w:t>4</w:t>
      </w:r>
      <w:r>
        <w:rPr>
          <w:lang w:val="it-CH"/>
        </w:rPr>
        <w:t xml:space="preserve"> </w:t>
      </w:r>
      <w:r w:rsidRPr="001F3907">
        <w:rPr>
          <w:lang w:val="it-CH"/>
        </w:rPr>
        <w:t>In caso di lavori di costruzione nelle zone di protezione delle acque sotterranee vanno adottate le particolari misure di protezione conformemente al promemoria dell'ufficio cantonale preposto alla protezione delle acque concernente i lavori di costruzione in zone di protezione delle acque sotterranee</w:t>
      </w:r>
      <w:r w:rsidR="00361BF9">
        <w:rPr>
          <w:rStyle w:val="Endnotenzeichen"/>
          <w:lang w:val="it-CH"/>
        </w:rPr>
        <w:endnoteReference w:id="14"/>
      </w:r>
      <w:r w:rsidRPr="001F3907">
        <w:rPr>
          <w:lang w:val="it-CH"/>
        </w:rPr>
        <w:t>.</w:t>
      </w:r>
    </w:p>
    <w:p w:rsidR="002B2957" w:rsidRDefault="00361BF9" w:rsidP="004E147E">
      <w:pPr>
        <w:pStyle w:val="berschrift2"/>
        <w:spacing w:before="480" w:after="360"/>
        <w:rPr>
          <w:lang w:val="it-CH"/>
        </w:rPr>
      </w:pPr>
      <w:r w:rsidRPr="00361BF9">
        <w:rPr>
          <w:lang w:val="it-CH"/>
        </w:rPr>
        <w:t>Restrizioni d'utilizzazione e misure di protezione nella zona S3</w:t>
      </w:r>
    </w:p>
    <w:p w:rsidR="002B2957" w:rsidRDefault="00316922" w:rsidP="00316922">
      <w:pPr>
        <w:pStyle w:val="Artikel"/>
        <w:rPr>
          <w:lang w:val="it-CH"/>
        </w:rPr>
      </w:pPr>
      <w:r w:rsidRPr="00316922">
        <w:rPr>
          <w:lang w:val="it-CH"/>
        </w:rPr>
        <w:t xml:space="preserve">Art. 8 </w:t>
      </w:r>
      <w:r w:rsidRPr="00316922">
        <w:rPr>
          <w:lang w:val="it-CH"/>
        </w:rPr>
        <w:tab/>
        <w:t>Costruzioni e impianti</w:t>
      </w:r>
    </w:p>
    <w:p w:rsidR="00316922" w:rsidRPr="00316922" w:rsidRDefault="00316922" w:rsidP="00316922">
      <w:pPr>
        <w:rPr>
          <w:lang w:val="it-CH"/>
        </w:rPr>
      </w:pPr>
      <w:r w:rsidRPr="00316922">
        <w:rPr>
          <w:rStyle w:val="Hochgestellt"/>
          <w:lang w:val="it-CH"/>
        </w:rPr>
        <w:t>1</w:t>
      </w:r>
      <w:r>
        <w:rPr>
          <w:lang w:val="it-CH"/>
        </w:rPr>
        <w:t xml:space="preserve"> </w:t>
      </w:r>
      <w:r w:rsidRPr="00316922">
        <w:rPr>
          <w:lang w:val="it-CH"/>
        </w:rPr>
        <w:t>Costruzioni e impianti n</w:t>
      </w:r>
      <w:r>
        <w:rPr>
          <w:lang w:val="it-CH"/>
        </w:rPr>
        <w:t>uovi sono di principio ammessi.</w:t>
      </w:r>
    </w:p>
    <w:p w:rsidR="00316922" w:rsidRPr="00316922" w:rsidRDefault="00316922" w:rsidP="00316922">
      <w:pPr>
        <w:rPr>
          <w:lang w:val="it-CH"/>
        </w:rPr>
      </w:pPr>
      <w:r w:rsidRPr="00316922">
        <w:rPr>
          <w:rStyle w:val="Hochgestellt"/>
          <w:lang w:val="it-CH"/>
        </w:rPr>
        <w:t>2</w:t>
      </w:r>
      <w:r>
        <w:rPr>
          <w:lang w:val="it-CH"/>
        </w:rPr>
        <w:t xml:space="preserve"> </w:t>
      </w:r>
      <w:r w:rsidRPr="00316922">
        <w:rPr>
          <w:lang w:val="it-CH"/>
        </w:rPr>
        <w:t>Non sono ammessi edifici industriali e artigianali dai quali può derivare una minaccia per le acque sotterranee</w:t>
      </w:r>
      <w:r>
        <w:rPr>
          <w:rStyle w:val="Endnotenzeichen"/>
          <w:lang w:val="it-CH"/>
        </w:rPr>
        <w:endnoteReference w:id="15"/>
      </w:r>
      <w:r w:rsidRPr="00316922">
        <w:rPr>
          <w:lang w:val="it-CH"/>
        </w:rPr>
        <w:t>.Si decide caso per caso in merito all'ammissibilità di altre costruzioni e impianti dai quali può derivare una minaccia per le acque sotterranee (quali funiv</w:t>
      </w:r>
      <w:r w:rsidR="00C10CBF">
        <w:rPr>
          <w:lang w:val="it-CH"/>
        </w:rPr>
        <w:t>ie, impianti d'innevamento arti</w:t>
      </w:r>
      <w:r w:rsidRPr="00316922">
        <w:rPr>
          <w:lang w:val="it-CH"/>
        </w:rPr>
        <w:t>ficiale, impianti sportivi, ecc.), nonché in merito alle misure di protezione necessarie.</w:t>
      </w:r>
    </w:p>
    <w:p w:rsidR="00316922" w:rsidRPr="00316922" w:rsidRDefault="00316922" w:rsidP="00316922">
      <w:pPr>
        <w:rPr>
          <w:lang w:val="it-CH"/>
        </w:rPr>
      </w:pPr>
      <w:r w:rsidRPr="00316922">
        <w:rPr>
          <w:rStyle w:val="Hochgestellt"/>
          <w:lang w:val="it-CH"/>
        </w:rPr>
        <w:t>3</w:t>
      </w:r>
      <w:r>
        <w:rPr>
          <w:lang w:val="it-CH"/>
        </w:rPr>
        <w:t xml:space="preserve"> </w:t>
      </w:r>
      <w:r w:rsidRPr="00316922">
        <w:rPr>
          <w:lang w:val="it-CH"/>
        </w:rPr>
        <w:t>Se possibile, le aziende agricole vanno costruite al di fuori della zona S3.</w:t>
      </w:r>
    </w:p>
    <w:p w:rsidR="00316922" w:rsidRPr="00316922" w:rsidRDefault="00316922" w:rsidP="00316922">
      <w:pPr>
        <w:rPr>
          <w:lang w:val="it-CH"/>
        </w:rPr>
      </w:pPr>
      <w:r w:rsidRPr="00316922">
        <w:rPr>
          <w:rStyle w:val="Hochgestellt"/>
          <w:lang w:val="it-CH"/>
        </w:rPr>
        <w:t>4</w:t>
      </w:r>
      <w:r>
        <w:rPr>
          <w:lang w:val="it-CH"/>
        </w:rPr>
        <w:t xml:space="preserve"> </w:t>
      </w:r>
      <w:r w:rsidRPr="00316922">
        <w:rPr>
          <w:lang w:val="it-CH"/>
        </w:rPr>
        <w:t>Vasche dei liquami e letamai (su piattaforma per il letame o direttamente sopra la vasca dei liquami) sono ammessi soltanto nelle stalle o accanto a esse. L'impermeabilità dei contenitori va verificata prima della messa in esercizio degli impianti e in seguito regolarmente ogni cinque anni, conformemente alle direttive e alle norme determinanti</w:t>
      </w:r>
      <w:r>
        <w:rPr>
          <w:rStyle w:val="Endnotenzeichen"/>
          <w:lang w:val="it-CH"/>
        </w:rPr>
        <w:endnoteReference w:id="16"/>
      </w:r>
      <w:r w:rsidRPr="00316922">
        <w:rPr>
          <w:lang w:val="it-CH"/>
        </w:rPr>
        <w:t>.</w:t>
      </w:r>
      <w:r>
        <w:rPr>
          <w:lang w:val="it-CH"/>
        </w:rPr>
        <w:t xml:space="preserve"> </w:t>
      </w:r>
      <w:r w:rsidRPr="00316922">
        <w:rPr>
          <w:lang w:val="it-CH"/>
        </w:rPr>
        <w:t>I protocolli di verifica vanno consegnati spontaneamente al comune subito dopo la verifica.</w:t>
      </w:r>
    </w:p>
    <w:p w:rsidR="00316922" w:rsidRPr="00316922" w:rsidRDefault="00316922" w:rsidP="00316922">
      <w:pPr>
        <w:rPr>
          <w:lang w:val="it-CH"/>
        </w:rPr>
      </w:pPr>
      <w:r w:rsidRPr="00316922">
        <w:rPr>
          <w:rStyle w:val="Hochgestellt"/>
          <w:lang w:val="it-CH"/>
        </w:rPr>
        <w:t>5</w:t>
      </w:r>
      <w:r>
        <w:rPr>
          <w:lang w:val="it-CH"/>
        </w:rPr>
        <w:t xml:space="preserve"> </w:t>
      </w:r>
      <w:r w:rsidRPr="00316922">
        <w:rPr>
          <w:lang w:val="it-CH"/>
        </w:rPr>
        <w:t>Costruzioni e impianti vanno costruiti al di sopra del livello massimo delle acque sotterranee, per le sorgenti al di sopra degli strati acquiferi</w:t>
      </w:r>
      <w:r>
        <w:rPr>
          <w:rStyle w:val="Endnotenzeichen"/>
          <w:lang w:val="it-CH"/>
        </w:rPr>
        <w:endnoteReference w:id="17"/>
      </w:r>
      <w:r>
        <w:rPr>
          <w:lang w:val="it-CH"/>
        </w:rPr>
        <w:t>.</w:t>
      </w:r>
    </w:p>
    <w:p w:rsidR="002B2957" w:rsidRDefault="00316922" w:rsidP="00316922">
      <w:pPr>
        <w:rPr>
          <w:lang w:val="it-CH"/>
        </w:rPr>
      </w:pPr>
      <w:r w:rsidRPr="00316922">
        <w:rPr>
          <w:rStyle w:val="Hochgestellt"/>
          <w:lang w:val="it-CH"/>
        </w:rPr>
        <w:t>6</w:t>
      </w:r>
      <w:r>
        <w:rPr>
          <w:lang w:val="it-CH"/>
        </w:rPr>
        <w:t xml:space="preserve"> </w:t>
      </w:r>
      <w:r w:rsidRPr="004E147E">
        <w:rPr>
          <w:highlight w:val="yellow"/>
          <w:lang w:val="it-CH"/>
        </w:rPr>
        <w:t>La posa di materiali da costruzione riciclati in forma sciolta è generalmente vietata</w:t>
      </w:r>
      <w:r>
        <w:rPr>
          <w:rStyle w:val="Endnotenzeichen"/>
          <w:lang w:val="it-CH"/>
        </w:rPr>
        <w:endnoteReference w:id="18"/>
      </w:r>
      <w:r w:rsidRPr="00316922">
        <w:rPr>
          <w:lang w:val="it-CH"/>
        </w:rPr>
        <w:t xml:space="preserve">. L'utilizzo di materiali edili riciclati </w:t>
      </w:r>
      <w:r w:rsidRPr="004E147E">
        <w:rPr>
          <w:highlight w:val="yellow"/>
          <w:lang w:val="it-CH"/>
        </w:rPr>
        <w:t>(in modo particolare in forma stabilizzata)</w:t>
      </w:r>
      <w:r w:rsidRPr="00316922">
        <w:rPr>
          <w:lang w:val="it-CH"/>
        </w:rPr>
        <w:t xml:space="preserve"> richiede un'autorizzazione dell'ufficio cantonale preposto alla protezione delle acque. Il rilascio dell'autorizzazione si conforma alla </w:t>
      </w:r>
      <w:r>
        <w:rPr>
          <w:lang w:val="it-CH"/>
        </w:rPr>
        <w:t>direttiva federale in materia</w:t>
      </w:r>
      <w:r>
        <w:rPr>
          <w:rStyle w:val="Endnotenzeichen"/>
          <w:lang w:val="it-CH"/>
        </w:rPr>
        <w:endnoteReference w:id="19"/>
      </w:r>
      <w:r>
        <w:rPr>
          <w:lang w:val="it-CH"/>
        </w:rPr>
        <w:t>.</w:t>
      </w:r>
    </w:p>
    <w:p w:rsidR="00316922" w:rsidRDefault="00316922" w:rsidP="00316922">
      <w:pPr>
        <w:pStyle w:val="Artikel"/>
        <w:rPr>
          <w:lang w:val="it-CH"/>
        </w:rPr>
      </w:pPr>
      <w:r w:rsidRPr="00316922">
        <w:rPr>
          <w:lang w:val="it-CH"/>
        </w:rPr>
        <w:t>Art. 9</w:t>
      </w:r>
      <w:r w:rsidRPr="00316922">
        <w:rPr>
          <w:lang w:val="it-CH"/>
        </w:rPr>
        <w:tab/>
        <w:t>Impianti per le acque di scarico, smaltimento delle acque di scarico</w:t>
      </w:r>
    </w:p>
    <w:p w:rsidR="00316922" w:rsidRPr="00316922" w:rsidRDefault="00316922" w:rsidP="00316922">
      <w:pPr>
        <w:rPr>
          <w:lang w:val="it-IT"/>
        </w:rPr>
      </w:pPr>
      <w:r w:rsidRPr="00384F8D">
        <w:rPr>
          <w:rStyle w:val="Hochgestellt"/>
          <w:lang w:val="it-CH"/>
        </w:rPr>
        <w:t>1</w:t>
      </w:r>
      <w:r>
        <w:rPr>
          <w:lang w:val="it-IT"/>
        </w:rPr>
        <w:t xml:space="preserve"> </w:t>
      </w:r>
      <w:r w:rsidRPr="00316922">
        <w:rPr>
          <w:lang w:val="it-IT"/>
        </w:rPr>
        <w:t>Impianti di ogni tipo per lo smaltimento delle acque di scarico (vasche, condotte e raccordi dome-stici, pozzi di controllo, ecc.) devono essere impermeabili e realizzati in modo tale da consentire senza difficoltà la verifica dell'impermeabilità</w:t>
      </w:r>
      <w:r w:rsidR="00384F8D">
        <w:rPr>
          <w:rStyle w:val="Endnotenzeichen"/>
          <w:lang w:val="it-IT"/>
        </w:rPr>
        <w:endnoteReference w:id="20"/>
      </w:r>
      <w:r w:rsidRPr="00316922">
        <w:rPr>
          <w:lang w:val="it-IT"/>
        </w:rPr>
        <w:t xml:space="preserve">. Per quanto possibile, negli edifici le condotte di scarico devono essere visibili </w:t>
      </w:r>
      <w:r w:rsidRPr="004E147E">
        <w:rPr>
          <w:highlight w:val="yellow"/>
          <w:lang w:val="it-IT"/>
        </w:rPr>
        <w:t>(ad es. lungo il soffitto della cantina)</w:t>
      </w:r>
      <w:r w:rsidRPr="00316922">
        <w:rPr>
          <w:lang w:val="it-IT"/>
        </w:rPr>
        <w:t>.</w:t>
      </w:r>
    </w:p>
    <w:p w:rsidR="00316922" w:rsidRPr="00316922" w:rsidRDefault="00316922" w:rsidP="00316922">
      <w:pPr>
        <w:rPr>
          <w:lang w:val="it-IT"/>
        </w:rPr>
      </w:pPr>
      <w:r w:rsidRPr="00384F8D">
        <w:rPr>
          <w:rStyle w:val="Hochgestellt"/>
          <w:lang w:val="it-CH"/>
        </w:rPr>
        <w:lastRenderedPageBreak/>
        <w:t>2</w:t>
      </w:r>
      <w:r>
        <w:rPr>
          <w:lang w:val="it-IT"/>
        </w:rPr>
        <w:t xml:space="preserve"> </w:t>
      </w:r>
      <w:r w:rsidRPr="00316922">
        <w:rPr>
          <w:lang w:val="it-IT"/>
        </w:rPr>
        <w:t xml:space="preserve">La verifica dell'impermeabilità va effettuata secondo le direttive e le norme determinanti </w:t>
      </w:r>
      <w:r w:rsidR="00384F8D">
        <w:rPr>
          <w:rStyle w:val="Endnotenzeichen"/>
          <w:lang w:val="it-IT"/>
        </w:rPr>
        <w:endnoteReference w:id="21"/>
      </w:r>
      <w:r w:rsidRPr="00316922">
        <w:rPr>
          <w:lang w:val="it-IT"/>
        </w:rPr>
        <w:t xml:space="preserve"> prima della messa in esercizio dell'impianto e in seguito ogni cinque anni. I protocolli di verifica vanno inviati spontaneamente al municipio subito dopo la verifica. </w:t>
      </w:r>
      <w:r w:rsidRPr="00384F8D">
        <w:rPr>
          <w:i/>
          <w:lang w:val="it-IT"/>
        </w:rPr>
        <w:t>Il municipio/[altra autorità comunale o persona, indicare quale, p.es. municipale competente]</w:t>
      </w:r>
      <w:r w:rsidRPr="00316922">
        <w:rPr>
          <w:lang w:val="it-IT"/>
        </w:rPr>
        <w:t xml:space="preserve"> provvede a un controllo coordinato degli impianti per le acque di scarico nelle zone edificabili.</w:t>
      </w:r>
    </w:p>
    <w:p w:rsidR="00316922" w:rsidRPr="00316922" w:rsidRDefault="00316922" w:rsidP="00316922">
      <w:pPr>
        <w:rPr>
          <w:lang w:val="it-IT"/>
        </w:rPr>
      </w:pPr>
      <w:r w:rsidRPr="00384F8D">
        <w:rPr>
          <w:rStyle w:val="Hochgestellt"/>
          <w:lang w:val="it-CH"/>
        </w:rPr>
        <w:t>3</w:t>
      </w:r>
      <w:r>
        <w:rPr>
          <w:lang w:val="it-IT"/>
        </w:rPr>
        <w:t xml:space="preserve"> </w:t>
      </w:r>
      <w:r w:rsidRPr="00316922">
        <w:rPr>
          <w:lang w:val="it-IT"/>
        </w:rPr>
        <w:t>Non è ammessa l'infiltrazione di acque di scarico, ad eccezione dell'infiltrazione di acqua piovana non inquinata proveniente da tetti, accessi ad abitazioni, piazzali, posteggi privati per autovetture davanti a edifici abitativi, nonché da sentieri pedonali, ciclopiste e strade di campagna attraverso uno strato del suolo biologicamente attivo (coperto di vegeta</w:t>
      </w:r>
      <w:r>
        <w:rPr>
          <w:lang w:val="it-IT"/>
        </w:rPr>
        <w:t>zione)</w:t>
      </w:r>
      <w:r w:rsidR="00384F8D">
        <w:rPr>
          <w:rStyle w:val="Endnotenzeichen"/>
          <w:lang w:val="it-IT"/>
        </w:rPr>
        <w:endnoteReference w:id="22"/>
      </w:r>
      <w:r>
        <w:rPr>
          <w:lang w:val="it-IT"/>
        </w:rPr>
        <w:t>.</w:t>
      </w:r>
    </w:p>
    <w:p w:rsidR="00316922" w:rsidRPr="00316922" w:rsidRDefault="00316922" w:rsidP="00316922">
      <w:pPr>
        <w:rPr>
          <w:lang w:val="it-IT"/>
        </w:rPr>
      </w:pPr>
      <w:r w:rsidRPr="00384F8D">
        <w:rPr>
          <w:rStyle w:val="Hochgestellt"/>
          <w:lang w:val="it-CH"/>
        </w:rPr>
        <w:t>4</w:t>
      </w:r>
      <w:r>
        <w:rPr>
          <w:lang w:val="it-IT"/>
        </w:rPr>
        <w:t xml:space="preserve"> </w:t>
      </w:r>
      <w:r w:rsidRPr="00316922">
        <w:rPr>
          <w:lang w:val="it-IT"/>
        </w:rPr>
        <w:t>Non è permesso spargere fanghi di depurazione, inclusi residui da piccoli impianti di depurazione delle acque e da vasche senza deflusso non agricole</w:t>
      </w:r>
      <w:r w:rsidR="00384F8D">
        <w:rPr>
          <w:rStyle w:val="Endnotenzeichen"/>
          <w:lang w:val="it-IT"/>
        </w:rPr>
        <w:endnoteReference w:id="23"/>
      </w:r>
      <w:r w:rsidRPr="00316922">
        <w:rPr>
          <w:lang w:val="it-IT"/>
        </w:rPr>
        <w:t>.</w:t>
      </w:r>
    </w:p>
    <w:p w:rsidR="00384F8D" w:rsidRPr="00384F8D" w:rsidRDefault="00384F8D" w:rsidP="00384F8D">
      <w:pPr>
        <w:pStyle w:val="Artikel"/>
        <w:rPr>
          <w:lang w:val="it-CH"/>
        </w:rPr>
      </w:pPr>
      <w:r w:rsidRPr="00384F8D">
        <w:rPr>
          <w:lang w:val="it-CH"/>
        </w:rPr>
        <w:t>Art. 10</w:t>
      </w:r>
      <w:r w:rsidRPr="00384F8D">
        <w:rPr>
          <w:lang w:val="it-CH"/>
        </w:rPr>
        <w:tab/>
        <w:t>Strade e piazze</w:t>
      </w:r>
    </w:p>
    <w:p w:rsidR="00384F8D" w:rsidRPr="00384F8D" w:rsidRDefault="00384F8D" w:rsidP="00384F8D">
      <w:pPr>
        <w:rPr>
          <w:lang w:val="it-CH"/>
        </w:rPr>
      </w:pPr>
      <w:r w:rsidRPr="00384F8D">
        <w:rPr>
          <w:rStyle w:val="Hochgestellt"/>
          <w:lang w:val="it-CH"/>
        </w:rPr>
        <w:t>1</w:t>
      </w:r>
      <w:r>
        <w:rPr>
          <w:lang w:val="it-CH"/>
        </w:rPr>
        <w:t xml:space="preserve"> </w:t>
      </w:r>
      <w:r w:rsidRPr="00384F8D">
        <w:rPr>
          <w:lang w:val="it-CH"/>
        </w:rPr>
        <w:t>L'inizio della zona S3 va indicato con il segnale "Z</w:t>
      </w:r>
      <w:r>
        <w:rPr>
          <w:lang w:val="it-CH"/>
        </w:rPr>
        <w:t>ona di protezione delle acque"</w:t>
      </w:r>
      <w:r>
        <w:rPr>
          <w:rStyle w:val="Endnotenzeichen"/>
          <w:lang w:val="it-CH"/>
        </w:rPr>
        <w:endnoteReference w:id="24"/>
      </w:r>
      <w:r>
        <w:rPr>
          <w:lang w:val="it-CH"/>
        </w:rPr>
        <w:t>.</w:t>
      </w:r>
    </w:p>
    <w:p w:rsidR="00384F8D" w:rsidRPr="00384F8D" w:rsidRDefault="00384F8D" w:rsidP="00384F8D">
      <w:pPr>
        <w:rPr>
          <w:lang w:val="it-CH"/>
        </w:rPr>
      </w:pPr>
      <w:r w:rsidRPr="00384F8D">
        <w:rPr>
          <w:rStyle w:val="Hochgestellt"/>
          <w:lang w:val="it-CH"/>
        </w:rPr>
        <w:t>2</w:t>
      </w:r>
      <w:r>
        <w:rPr>
          <w:lang w:val="it-CH"/>
        </w:rPr>
        <w:t xml:space="preserve"> </w:t>
      </w:r>
      <w:r w:rsidRPr="00384F8D">
        <w:rPr>
          <w:lang w:val="it-CH"/>
        </w:rPr>
        <w:t>Strade, piazze, posteggi, nonché strade agricole e forestali aperte al traffico veicolare generale e sulle quali circolano regolarmente veicoli a potenziale rischio di inquinamento delle acque devono essere realizzate con una pavimentazione impermeabile e bordi, in modo che tutte le acque di scarico prodotte possano essere raccolte. Le acque di scarico vanno convogliate al di fuori dell'area delle zone di protezione. Lo smaltimento non può avvenire attraverso la banchina</w:t>
      </w:r>
      <w:r>
        <w:rPr>
          <w:rStyle w:val="Endnotenzeichen"/>
          <w:lang w:val="it-CH"/>
        </w:rPr>
        <w:endnoteReference w:id="25"/>
      </w:r>
      <w:r w:rsidRPr="00384F8D">
        <w:rPr>
          <w:lang w:val="it-CH"/>
        </w:rPr>
        <w:t>.</w:t>
      </w:r>
    </w:p>
    <w:p w:rsidR="00316922" w:rsidRDefault="00384F8D" w:rsidP="00384F8D">
      <w:pPr>
        <w:rPr>
          <w:lang w:val="it-CH"/>
        </w:rPr>
      </w:pPr>
      <w:r w:rsidRPr="00384F8D">
        <w:rPr>
          <w:rStyle w:val="Hochgestellt"/>
          <w:lang w:val="it-CH"/>
        </w:rPr>
        <w:t>3</w:t>
      </w:r>
      <w:r>
        <w:rPr>
          <w:lang w:val="it-CH"/>
        </w:rPr>
        <w:t xml:space="preserve"> </w:t>
      </w:r>
      <w:r w:rsidRPr="00384F8D">
        <w:rPr>
          <w:lang w:val="it-CH"/>
        </w:rPr>
        <w:t xml:space="preserve">In caso di strade agricole e forestali non aperte al traffico veicolare generale, le acque di scarico della strada devono potersi infiltrare lungo tutta la banchina. </w:t>
      </w:r>
      <w:r w:rsidRPr="004E147E">
        <w:rPr>
          <w:highlight w:val="yellow"/>
          <w:lang w:val="it-CH"/>
        </w:rPr>
        <w:t>Ove sia tecnicamente possibile, le infiltrazioni puntuali (come ad esempio cunette trasversali) devono essere evitate.</w:t>
      </w:r>
    </w:p>
    <w:p w:rsidR="00316922" w:rsidRDefault="0015578B" w:rsidP="0015578B">
      <w:pPr>
        <w:pStyle w:val="Artikel"/>
        <w:rPr>
          <w:lang w:val="it-CH"/>
        </w:rPr>
      </w:pPr>
      <w:r w:rsidRPr="0015578B">
        <w:rPr>
          <w:lang w:val="it-CH"/>
        </w:rPr>
        <w:t>Art. 11</w:t>
      </w:r>
      <w:r w:rsidRPr="0015578B">
        <w:rPr>
          <w:lang w:val="it-CH"/>
        </w:rPr>
        <w:tab/>
        <w:t>Impianti con liquidi a potenziale rischio di inquinamento delle acque, sonde geotermiche</w:t>
      </w:r>
    </w:p>
    <w:p w:rsidR="0015578B" w:rsidRPr="0015578B" w:rsidRDefault="0015578B" w:rsidP="0015578B">
      <w:pPr>
        <w:rPr>
          <w:lang w:val="it-CH"/>
        </w:rPr>
      </w:pPr>
      <w:r w:rsidRPr="0015578B">
        <w:rPr>
          <w:rStyle w:val="Hochgestellt"/>
          <w:lang w:val="it-CH"/>
        </w:rPr>
        <w:t>1</w:t>
      </w:r>
      <w:r>
        <w:rPr>
          <w:lang w:val="it-CH"/>
        </w:rPr>
        <w:t xml:space="preserve"> </w:t>
      </w:r>
      <w:r w:rsidRPr="0015578B">
        <w:rPr>
          <w:lang w:val="it-CH"/>
        </w:rPr>
        <w:t>L'ammissibilità di impianti con liquidi a potenziale rischio di inquinamento delle acque, nonché le misure da adottare nella loro costruzione, modifica ed esercizio si conformano al diritto federale</w:t>
      </w:r>
      <w:r>
        <w:rPr>
          <w:rStyle w:val="Endnotenzeichen"/>
          <w:lang w:val="it-CH"/>
        </w:rPr>
        <w:endnoteReference w:id="26"/>
      </w:r>
      <w:r w:rsidRPr="0015578B">
        <w:rPr>
          <w:lang w:val="it-CH"/>
        </w:rPr>
        <w:t>.</w:t>
      </w:r>
      <w:r>
        <w:rPr>
          <w:lang w:val="it-CH"/>
        </w:rPr>
        <w:t xml:space="preserve"> </w:t>
      </w:r>
      <w:r w:rsidRPr="0015578B">
        <w:rPr>
          <w:lang w:val="it-CH"/>
        </w:rPr>
        <w:t>I contenitori accessibili da ogni parte adibiti al deposito di olio da riscaldamento o diesel per l'approvvigionamento energetico di edifici o di aziende per una durata massima di due anni, fino a una dete</w:t>
      </w:r>
      <w:r>
        <w:rPr>
          <w:lang w:val="it-CH"/>
        </w:rPr>
        <w:t>rminata grandezza sono ammessi</w:t>
      </w:r>
      <w:r>
        <w:rPr>
          <w:rStyle w:val="Endnotenzeichen"/>
          <w:lang w:val="it-CH"/>
        </w:rPr>
        <w:endnoteReference w:id="27"/>
      </w:r>
      <w:r w:rsidRPr="0015578B">
        <w:rPr>
          <w:lang w:val="it-CH"/>
        </w:rPr>
        <w:t>, così come le relative condotte e le stazioni di travaso.</w:t>
      </w:r>
    </w:p>
    <w:p w:rsidR="00316922" w:rsidRDefault="0015578B" w:rsidP="0015578B">
      <w:pPr>
        <w:rPr>
          <w:lang w:val="it-CH"/>
        </w:rPr>
      </w:pPr>
      <w:r w:rsidRPr="0015578B">
        <w:rPr>
          <w:rStyle w:val="Hochgestellt"/>
          <w:lang w:val="it-CH"/>
        </w:rPr>
        <w:t>2</w:t>
      </w:r>
      <w:r>
        <w:rPr>
          <w:lang w:val="it-CH"/>
        </w:rPr>
        <w:t xml:space="preserve"> </w:t>
      </w:r>
      <w:r w:rsidRPr="0015578B">
        <w:rPr>
          <w:lang w:val="it-CH"/>
        </w:rPr>
        <w:t>Sonde geotermiche e altri impianti che sottraggono o restituiscono calore al sottosuolo non sono ammessi</w:t>
      </w:r>
      <w:r>
        <w:rPr>
          <w:rStyle w:val="Endnotenzeichen"/>
          <w:lang w:val="it-CH"/>
        </w:rPr>
        <w:endnoteReference w:id="28"/>
      </w:r>
      <w:r w:rsidRPr="0015578B">
        <w:rPr>
          <w:lang w:val="it-CH"/>
        </w:rPr>
        <w:t>.</w:t>
      </w:r>
    </w:p>
    <w:p w:rsidR="0015578B" w:rsidRPr="0015578B" w:rsidRDefault="0015578B" w:rsidP="0015578B">
      <w:pPr>
        <w:pStyle w:val="Artikel"/>
        <w:rPr>
          <w:lang w:val="it-CH"/>
        </w:rPr>
      </w:pPr>
      <w:r w:rsidRPr="0015578B">
        <w:rPr>
          <w:lang w:val="it-CH"/>
        </w:rPr>
        <w:t>Art. 12</w:t>
      </w:r>
      <w:r w:rsidRPr="0015578B">
        <w:rPr>
          <w:lang w:val="it-CH"/>
        </w:rPr>
        <w:tab/>
        <w:t>Modifiche del terreno ed estrazioni di materiali</w:t>
      </w:r>
    </w:p>
    <w:p w:rsidR="0015578B" w:rsidRPr="0015578B" w:rsidRDefault="0015578B" w:rsidP="0015578B">
      <w:pPr>
        <w:rPr>
          <w:lang w:val="it-CH"/>
        </w:rPr>
      </w:pPr>
      <w:r w:rsidRPr="0015578B">
        <w:rPr>
          <w:rStyle w:val="Hochgestellt"/>
          <w:lang w:val="it-CH"/>
        </w:rPr>
        <w:t>1</w:t>
      </w:r>
      <w:r>
        <w:rPr>
          <w:lang w:val="it-CH"/>
        </w:rPr>
        <w:t xml:space="preserve"> </w:t>
      </w:r>
      <w:r w:rsidRPr="004E147E">
        <w:rPr>
          <w:highlight w:val="yellow"/>
          <w:lang w:val="it-CH"/>
        </w:rPr>
        <w:t>Non sono ammesse riduzioni pregiudizievoli della funzione protettiva del rivestimento (suolo e strato di copertura)</w:t>
      </w:r>
      <w:r>
        <w:rPr>
          <w:rStyle w:val="Endnotenzeichen"/>
          <w:lang w:val="it-CH"/>
        </w:rPr>
        <w:endnoteReference w:id="29"/>
      </w:r>
      <w:r w:rsidRPr="0015578B">
        <w:rPr>
          <w:lang w:val="it-CH"/>
        </w:rPr>
        <w:t xml:space="preserve">; fanno eccezione lavori di scavo per edifici e impianti conformi alla zona di protezione. </w:t>
      </w:r>
    </w:p>
    <w:p w:rsidR="0015578B" w:rsidRPr="0015578B" w:rsidRDefault="0015578B" w:rsidP="0015578B">
      <w:pPr>
        <w:rPr>
          <w:lang w:val="it-CH"/>
        </w:rPr>
      </w:pPr>
      <w:r w:rsidRPr="0015578B">
        <w:rPr>
          <w:rStyle w:val="Hochgestellt"/>
          <w:lang w:val="it-CH"/>
        </w:rPr>
        <w:t>2</w:t>
      </w:r>
      <w:r>
        <w:rPr>
          <w:lang w:val="it-CH"/>
        </w:rPr>
        <w:t xml:space="preserve"> </w:t>
      </w:r>
      <w:r w:rsidRPr="0015578B">
        <w:rPr>
          <w:lang w:val="it-CH"/>
        </w:rPr>
        <w:t xml:space="preserve">Non sono ammesse estrazioni di materiali </w:t>
      </w:r>
      <w:r w:rsidRPr="004E147E">
        <w:rPr>
          <w:highlight w:val="yellow"/>
          <w:lang w:val="it-CH"/>
        </w:rPr>
        <w:t>(come ad esempio l’estrazione di ghiaia e sabbia)</w:t>
      </w:r>
      <w:r>
        <w:rPr>
          <w:rStyle w:val="Endnotenzeichen"/>
          <w:lang w:val="it-CH"/>
        </w:rPr>
        <w:endnoteReference w:id="30"/>
      </w:r>
      <w:r>
        <w:rPr>
          <w:lang w:val="it-CH"/>
        </w:rPr>
        <w:t>.</w:t>
      </w:r>
    </w:p>
    <w:p w:rsidR="0015578B" w:rsidRPr="0015578B" w:rsidRDefault="0015578B" w:rsidP="0015578B">
      <w:pPr>
        <w:pStyle w:val="Artikel"/>
        <w:rPr>
          <w:lang w:val="it-CH"/>
        </w:rPr>
      </w:pPr>
      <w:r w:rsidRPr="0015578B">
        <w:rPr>
          <w:lang w:val="it-CH"/>
        </w:rPr>
        <w:lastRenderedPageBreak/>
        <w:t>Art. 13</w:t>
      </w:r>
      <w:r w:rsidRPr="0015578B">
        <w:rPr>
          <w:lang w:val="it-CH"/>
        </w:rPr>
        <w:tab/>
      </w:r>
      <w:r w:rsidRPr="004E147E">
        <w:rPr>
          <w:highlight w:val="yellow"/>
          <w:lang w:val="it-CH"/>
        </w:rPr>
        <w:t>Discariche, depositi intermedi di letame, depositi di carcasse di animali, cimiteri e piazzali di deposito</w:t>
      </w:r>
      <w:r w:rsidRPr="0015578B">
        <w:rPr>
          <w:lang w:val="it-CH"/>
        </w:rPr>
        <w:t xml:space="preserve"> </w:t>
      </w:r>
    </w:p>
    <w:p w:rsidR="0015578B" w:rsidRPr="0015578B" w:rsidRDefault="0015578B" w:rsidP="0015578B">
      <w:pPr>
        <w:rPr>
          <w:lang w:val="it-CH"/>
        </w:rPr>
      </w:pPr>
      <w:r w:rsidRPr="0015578B">
        <w:rPr>
          <w:rStyle w:val="Hochgestellt"/>
          <w:lang w:val="it-CH"/>
        </w:rPr>
        <w:t>1</w:t>
      </w:r>
      <w:r>
        <w:rPr>
          <w:lang w:val="it-CH"/>
        </w:rPr>
        <w:t xml:space="preserve"> </w:t>
      </w:r>
      <w:r w:rsidRPr="004E147E">
        <w:rPr>
          <w:highlight w:val="yellow"/>
          <w:lang w:val="it-CH"/>
        </w:rPr>
        <w:t>Non sono ammessi discariche</w:t>
      </w:r>
      <w:r w:rsidRPr="004E147E">
        <w:rPr>
          <w:rStyle w:val="Endnotenzeichen"/>
          <w:highlight w:val="yellow"/>
          <w:lang w:val="it-CH"/>
        </w:rPr>
        <w:endnoteReference w:id="31"/>
      </w:r>
      <w:r w:rsidRPr="004E147E">
        <w:rPr>
          <w:highlight w:val="yellow"/>
          <w:lang w:val="it-CH"/>
        </w:rPr>
        <w:t>, luoghi per il sotterramento di corpi di animali</w:t>
      </w:r>
      <w:r w:rsidRPr="004E147E">
        <w:rPr>
          <w:rStyle w:val="Endnotenzeichen"/>
          <w:highlight w:val="yellow"/>
          <w:lang w:val="it-CH"/>
        </w:rPr>
        <w:endnoteReference w:id="32"/>
      </w:r>
      <w:r w:rsidRPr="004E147E">
        <w:rPr>
          <w:highlight w:val="yellow"/>
          <w:lang w:val="it-CH"/>
        </w:rPr>
        <w:t>, nonché cimiteri (fatta eccezione per loculi e cinerari).</w:t>
      </w:r>
    </w:p>
    <w:p w:rsidR="0015578B" w:rsidRPr="0015578B" w:rsidRDefault="0015578B" w:rsidP="0015578B">
      <w:pPr>
        <w:rPr>
          <w:lang w:val="it-CH"/>
        </w:rPr>
      </w:pPr>
      <w:r w:rsidRPr="0015578B">
        <w:rPr>
          <w:rStyle w:val="Hochgestellt"/>
          <w:lang w:val="it-CH"/>
        </w:rPr>
        <w:t>2</w:t>
      </w:r>
      <w:r>
        <w:rPr>
          <w:lang w:val="it-CH"/>
        </w:rPr>
        <w:t xml:space="preserve"> </w:t>
      </w:r>
      <w:r w:rsidRPr="0015578B">
        <w:rPr>
          <w:lang w:val="it-CH"/>
        </w:rPr>
        <w:t>Non sono ammessi depositi intermedi di letame sui campi (su suolo naturale non protetto) e compostaggio di andana (al bordo del terreno). Il compostaggio di andana al cope</w:t>
      </w:r>
      <w:r>
        <w:rPr>
          <w:lang w:val="it-CH"/>
        </w:rPr>
        <w:t>rto per uso privato è permesso.</w:t>
      </w:r>
    </w:p>
    <w:p w:rsidR="00316922" w:rsidRDefault="0015578B" w:rsidP="0015578B">
      <w:pPr>
        <w:rPr>
          <w:lang w:val="it-CH"/>
        </w:rPr>
      </w:pPr>
      <w:r w:rsidRPr="0015578B">
        <w:rPr>
          <w:rStyle w:val="Hochgestellt"/>
          <w:lang w:val="it-CH"/>
        </w:rPr>
        <w:t>3</w:t>
      </w:r>
      <w:r>
        <w:rPr>
          <w:lang w:val="it-CH"/>
        </w:rPr>
        <w:t xml:space="preserve"> </w:t>
      </w:r>
      <w:r w:rsidRPr="0015578B">
        <w:rPr>
          <w:lang w:val="it-CH"/>
        </w:rPr>
        <w:t xml:space="preserve">Il deposito definitivo o intermedio di sostanze e oggetti che rappresentano un rischio per le acque sotterranee (legna trattata con sostanze di protezione, materiali edili riciclati, rotoballe, rifiuti, </w:t>
      </w:r>
      <w:r w:rsidRPr="004E147E">
        <w:rPr>
          <w:highlight w:val="yellow"/>
          <w:lang w:val="it-CH"/>
        </w:rPr>
        <w:t>compost</w:t>
      </w:r>
      <w:r w:rsidRPr="0015578B">
        <w:rPr>
          <w:lang w:val="it-CH"/>
        </w:rPr>
        <w:t xml:space="preserve"> ecc.) al di fuori di impianti idonei non è permesso.</w:t>
      </w:r>
    </w:p>
    <w:p w:rsidR="0015578B" w:rsidRPr="0015578B" w:rsidRDefault="0015578B" w:rsidP="0015578B">
      <w:pPr>
        <w:pStyle w:val="Artikel"/>
        <w:rPr>
          <w:lang w:val="it-CH"/>
        </w:rPr>
      </w:pPr>
      <w:r w:rsidRPr="0015578B">
        <w:rPr>
          <w:lang w:val="it-CH"/>
        </w:rPr>
        <w:t>Art. 14</w:t>
      </w:r>
      <w:r w:rsidRPr="0015578B">
        <w:rPr>
          <w:lang w:val="it-CH"/>
        </w:rPr>
        <w:tab/>
        <w:t>Utilizzo agricolo, forestale e orticolo</w:t>
      </w:r>
    </w:p>
    <w:p w:rsidR="0015578B" w:rsidRPr="0015578B" w:rsidRDefault="0015578B" w:rsidP="0015578B">
      <w:pPr>
        <w:rPr>
          <w:lang w:val="it-CH"/>
        </w:rPr>
      </w:pPr>
      <w:r w:rsidRPr="0015578B">
        <w:rPr>
          <w:rStyle w:val="Hochgestellt"/>
          <w:lang w:val="it-CH"/>
        </w:rPr>
        <w:t>1</w:t>
      </w:r>
      <w:r>
        <w:rPr>
          <w:lang w:val="it-CH"/>
        </w:rPr>
        <w:t xml:space="preserve"> </w:t>
      </w:r>
      <w:r w:rsidRPr="0015578B">
        <w:rPr>
          <w:lang w:val="it-CH"/>
        </w:rPr>
        <w:t>L'utilizzo agricolo, forestale e orticolo del suolo è ammesso, nella misura in cui non viene limita</w:t>
      </w:r>
      <w:r>
        <w:rPr>
          <w:lang w:val="it-CH"/>
        </w:rPr>
        <w:t>to dalle disposizioni seguenti.</w:t>
      </w:r>
    </w:p>
    <w:p w:rsidR="0015578B" w:rsidRPr="0015578B" w:rsidRDefault="0015578B" w:rsidP="0015578B">
      <w:pPr>
        <w:rPr>
          <w:lang w:val="it-CH"/>
        </w:rPr>
      </w:pPr>
      <w:r w:rsidRPr="0015578B">
        <w:rPr>
          <w:rStyle w:val="Hochgestellt"/>
          <w:lang w:val="it-CH"/>
        </w:rPr>
        <w:t>2</w:t>
      </w:r>
      <w:r>
        <w:rPr>
          <w:lang w:val="it-CH"/>
        </w:rPr>
        <w:t xml:space="preserve"> </w:t>
      </w:r>
      <w:r w:rsidRPr="0015578B">
        <w:rPr>
          <w:lang w:val="it-CH"/>
        </w:rPr>
        <w:t>Attraverso la scelta delle colture e dei metodi di coltivazione adatti si deve garantire che una parte del suolo il più possibile importante sia sempre coperta da vegetazione.</w:t>
      </w:r>
    </w:p>
    <w:p w:rsidR="0015578B" w:rsidRPr="0015578B" w:rsidRDefault="0015578B" w:rsidP="0015578B">
      <w:pPr>
        <w:rPr>
          <w:lang w:val="it-CH"/>
        </w:rPr>
      </w:pPr>
      <w:r w:rsidRPr="0015578B">
        <w:rPr>
          <w:rStyle w:val="Hochgestellt"/>
          <w:lang w:val="it-CH"/>
        </w:rPr>
        <w:t>3</w:t>
      </w:r>
      <w:r>
        <w:rPr>
          <w:lang w:val="it-CH"/>
        </w:rPr>
        <w:t xml:space="preserve"> </w:t>
      </w:r>
      <w:r w:rsidRPr="0015578B">
        <w:rPr>
          <w:lang w:val="it-CH"/>
        </w:rPr>
        <w:t xml:space="preserve">Durante il periodo di gestione, le aree nelle quali il livello delle acque sotterranee è elevato o temporaneamente affiora acqua in superficie (ristagni, zone paludose), nonché una striscia di </w:t>
      </w:r>
      <w:r w:rsidRPr="0015578B">
        <w:rPr>
          <w:i/>
          <w:lang w:val="it-CH"/>
        </w:rPr>
        <w:t>[fissare una distanza minima in metri a seconda della topografia e della larghezza del corso d'acqua]</w:t>
      </w:r>
      <w:r w:rsidRPr="0015578B">
        <w:rPr>
          <w:lang w:val="it-CH"/>
        </w:rPr>
        <w:t xml:space="preserve"> metri a partire dalla linea spondale del </w:t>
      </w:r>
      <w:r w:rsidRPr="0015578B">
        <w:rPr>
          <w:i/>
          <w:lang w:val="it-CH"/>
        </w:rPr>
        <w:t>[nome del corso d'acqua]</w:t>
      </w:r>
      <w:r w:rsidRPr="0015578B">
        <w:rPr>
          <w:lang w:val="it-CH"/>
        </w:rPr>
        <w:t xml:space="preserve"> devono essere recintate. Su queste superfici il pascolo non è ammesso.</w:t>
      </w:r>
    </w:p>
    <w:p w:rsidR="0015578B" w:rsidRPr="0015578B" w:rsidRDefault="0015578B" w:rsidP="0015578B">
      <w:pPr>
        <w:rPr>
          <w:lang w:val="it-CH"/>
        </w:rPr>
      </w:pPr>
      <w:r w:rsidRPr="0015578B">
        <w:rPr>
          <w:rStyle w:val="Hochgestellt"/>
          <w:lang w:val="it-CH"/>
        </w:rPr>
        <w:t>4</w:t>
      </w:r>
      <w:r>
        <w:rPr>
          <w:lang w:val="it-CH"/>
        </w:rPr>
        <w:t xml:space="preserve"> </w:t>
      </w:r>
      <w:r w:rsidRPr="0015578B">
        <w:rPr>
          <w:lang w:val="it-CH"/>
        </w:rPr>
        <w:t>Il deposito di legname è permesso. Se il legname depositato viene trattato con prodotti per la protezione del legno, con misure edilizie si deve impedire il dilavamento e l'infil</w:t>
      </w:r>
      <w:r>
        <w:rPr>
          <w:lang w:val="it-CH"/>
        </w:rPr>
        <w:t>trazione dei pro</w:t>
      </w:r>
      <w:r w:rsidRPr="0015578B">
        <w:rPr>
          <w:lang w:val="it-CH"/>
        </w:rPr>
        <w:t>dotti</w:t>
      </w:r>
      <w:r>
        <w:rPr>
          <w:rStyle w:val="Endnotenzeichen"/>
          <w:lang w:val="it-CH"/>
        </w:rPr>
        <w:endnoteReference w:id="33"/>
      </w:r>
      <w:r>
        <w:rPr>
          <w:lang w:val="it-CH"/>
        </w:rPr>
        <w:t>.</w:t>
      </w:r>
    </w:p>
    <w:p w:rsidR="00316922" w:rsidRDefault="0015578B" w:rsidP="0015578B">
      <w:pPr>
        <w:rPr>
          <w:lang w:val="it-CH"/>
        </w:rPr>
      </w:pPr>
      <w:r w:rsidRPr="0015578B">
        <w:rPr>
          <w:rStyle w:val="Hochgestellt"/>
          <w:lang w:val="it-CH"/>
        </w:rPr>
        <w:t>5</w:t>
      </w:r>
      <w:r>
        <w:rPr>
          <w:lang w:val="it-CH"/>
        </w:rPr>
        <w:t xml:space="preserve"> </w:t>
      </w:r>
      <w:r w:rsidRPr="004E147E">
        <w:rPr>
          <w:highlight w:val="yellow"/>
          <w:lang w:val="it-CH"/>
        </w:rPr>
        <w:t>Non è consentito l’utilizzo di vasche mobili per il bagno di disinfezione contro la rogna e la zoppina.</w:t>
      </w:r>
    </w:p>
    <w:p w:rsidR="0015578B" w:rsidRPr="0015578B" w:rsidRDefault="0015578B" w:rsidP="0015578B">
      <w:pPr>
        <w:pStyle w:val="Artikel"/>
        <w:rPr>
          <w:lang w:val="it-CH"/>
        </w:rPr>
      </w:pPr>
      <w:r w:rsidRPr="0015578B">
        <w:rPr>
          <w:lang w:val="it-CH"/>
        </w:rPr>
        <w:t>Art. 15</w:t>
      </w:r>
      <w:r w:rsidRPr="0015578B">
        <w:rPr>
          <w:lang w:val="it-CH"/>
        </w:rPr>
        <w:tab/>
        <w:t>Utilizzo di concimi</w:t>
      </w:r>
    </w:p>
    <w:p w:rsidR="0015578B" w:rsidRPr="0015578B" w:rsidRDefault="0015578B" w:rsidP="0015578B">
      <w:pPr>
        <w:rPr>
          <w:lang w:val="it-CH"/>
        </w:rPr>
      </w:pPr>
      <w:r w:rsidRPr="00B933CD">
        <w:rPr>
          <w:rStyle w:val="Hochgestellt"/>
          <w:lang w:val="it-CH"/>
        </w:rPr>
        <w:t>1</w:t>
      </w:r>
      <w:r>
        <w:rPr>
          <w:lang w:val="it-CH"/>
        </w:rPr>
        <w:t xml:space="preserve"> </w:t>
      </w:r>
      <w:r w:rsidRPr="0015578B">
        <w:rPr>
          <w:lang w:val="it-CH"/>
        </w:rPr>
        <w:t>Per le particelle concimate, con il coinvolgimento del Servizio di consulenza agricola dei Grigioni si deve allestire un piano di concimazione adeguato al sito conformemente ai dati di base attuali per la concimazione in campicoltura e foraggicoltura</w:t>
      </w:r>
      <w:r w:rsidR="00B933CD">
        <w:rPr>
          <w:rStyle w:val="Endnotenzeichen"/>
          <w:lang w:val="it-CH"/>
        </w:rPr>
        <w:endnoteReference w:id="34"/>
      </w:r>
      <w:r w:rsidRPr="0015578B">
        <w:rPr>
          <w:lang w:val="it-CH"/>
        </w:rPr>
        <w:t xml:space="preserve"> e si deve concimare di conseguenza. Una copia del piano di concimazione va spontaneamente consegnata al municipio. </w:t>
      </w:r>
    </w:p>
    <w:p w:rsidR="0015578B" w:rsidRPr="0015578B" w:rsidRDefault="0015578B" w:rsidP="0015578B">
      <w:pPr>
        <w:rPr>
          <w:lang w:val="it-CH"/>
        </w:rPr>
      </w:pPr>
      <w:r w:rsidRPr="00B933CD">
        <w:rPr>
          <w:rStyle w:val="Hochgestellt"/>
          <w:lang w:val="it-CH"/>
        </w:rPr>
        <w:t>2</w:t>
      </w:r>
      <w:r>
        <w:rPr>
          <w:lang w:val="it-CH"/>
        </w:rPr>
        <w:t xml:space="preserve"> </w:t>
      </w:r>
      <w:r w:rsidRPr="0015578B">
        <w:rPr>
          <w:lang w:val="it-CH"/>
        </w:rPr>
        <w:t>Nell'utilizzo di concimi vanno osservate le prescrizioni del diritto federale</w:t>
      </w:r>
      <w:r w:rsidR="00B933CD">
        <w:rPr>
          <w:rStyle w:val="Endnotenzeichen"/>
          <w:lang w:val="it-CH"/>
        </w:rPr>
        <w:endnoteReference w:id="35"/>
      </w:r>
      <w:r w:rsidRPr="0015578B">
        <w:rPr>
          <w:lang w:val="it-CH"/>
        </w:rPr>
        <w:t xml:space="preserve"> e le direttive </w:t>
      </w:r>
      <w:r w:rsidR="00B933CD">
        <w:rPr>
          <w:lang w:val="it-CH"/>
        </w:rPr>
        <w:t>in materia della Confederazione</w:t>
      </w:r>
      <w:r w:rsidR="00B933CD">
        <w:rPr>
          <w:rStyle w:val="Endnotenzeichen"/>
          <w:lang w:val="it-CH"/>
        </w:rPr>
        <w:endnoteReference w:id="36"/>
      </w:r>
      <w:r w:rsidRPr="0015578B">
        <w:rPr>
          <w:lang w:val="it-CH"/>
        </w:rPr>
        <w:t>.</w:t>
      </w:r>
    </w:p>
    <w:p w:rsidR="0015578B" w:rsidRPr="0015578B" w:rsidRDefault="0015578B" w:rsidP="0015578B">
      <w:pPr>
        <w:rPr>
          <w:lang w:val="it-CH"/>
        </w:rPr>
      </w:pPr>
      <w:r w:rsidRPr="00B933CD">
        <w:rPr>
          <w:rStyle w:val="Hochgestellt"/>
          <w:lang w:val="it-CH"/>
        </w:rPr>
        <w:t>3</w:t>
      </w:r>
      <w:r>
        <w:rPr>
          <w:lang w:val="it-CH"/>
        </w:rPr>
        <w:t xml:space="preserve"> </w:t>
      </w:r>
      <w:r w:rsidRPr="0015578B">
        <w:rPr>
          <w:lang w:val="it-CH"/>
        </w:rPr>
        <w:t>Concimi aziendali liquidi e concimi di riciclaggio possono essere impiegati soltanto se è escluso un loro deflusso su</w:t>
      </w:r>
      <w:r w:rsidR="00B933CD">
        <w:rPr>
          <w:lang w:val="it-CH"/>
        </w:rPr>
        <w:t>perficiale verso la captazione.</w:t>
      </w:r>
    </w:p>
    <w:p w:rsidR="00316922" w:rsidRDefault="0015578B" w:rsidP="0015578B">
      <w:pPr>
        <w:rPr>
          <w:lang w:val="it-CH"/>
        </w:rPr>
      </w:pPr>
      <w:r w:rsidRPr="00B933CD">
        <w:rPr>
          <w:rStyle w:val="Hochgestellt"/>
          <w:lang w:val="it-CH"/>
        </w:rPr>
        <w:t>4</w:t>
      </w:r>
      <w:r>
        <w:rPr>
          <w:lang w:val="it-CH"/>
        </w:rPr>
        <w:t xml:space="preserve"> </w:t>
      </w:r>
      <w:r w:rsidRPr="0015578B">
        <w:rPr>
          <w:lang w:val="it-CH"/>
        </w:rPr>
        <w:t>La concimazione è vietata nelle aree in cui il livello delle acque sot</w:t>
      </w:r>
      <w:r w:rsidR="00B933CD">
        <w:rPr>
          <w:lang w:val="it-CH"/>
        </w:rPr>
        <w:t>terranee è elevato o temporanea</w:t>
      </w:r>
      <w:r w:rsidRPr="0015578B">
        <w:rPr>
          <w:lang w:val="it-CH"/>
        </w:rPr>
        <w:t>mente affiora acqua in superficie (ristagni, zone paludose).</w:t>
      </w:r>
    </w:p>
    <w:p w:rsidR="00B933CD" w:rsidRPr="00B933CD" w:rsidRDefault="00B933CD" w:rsidP="00B933CD">
      <w:pPr>
        <w:pStyle w:val="Artikel"/>
        <w:rPr>
          <w:lang w:val="it-CH"/>
        </w:rPr>
      </w:pPr>
      <w:r w:rsidRPr="00B933CD">
        <w:rPr>
          <w:lang w:val="it-CH"/>
        </w:rPr>
        <w:t>Art. 16</w:t>
      </w:r>
      <w:r w:rsidRPr="00B933CD">
        <w:rPr>
          <w:lang w:val="it-CH"/>
        </w:rPr>
        <w:tab/>
        <w:t>Impiego di prodotti fitosanitari e per la protezione del legno</w:t>
      </w:r>
    </w:p>
    <w:p w:rsidR="00B933CD" w:rsidRPr="00B933CD" w:rsidRDefault="00B933CD" w:rsidP="00B933CD">
      <w:pPr>
        <w:rPr>
          <w:lang w:val="it-CH"/>
        </w:rPr>
      </w:pPr>
      <w:r w:rsidRPr="00B933CD">
        <w:rPr>
          <w:rStyle w:val="Hochgestellt"/>
          <w:lang w:val="it-CH"/>
        </w:rPr>
        <w:lastRenderedPageBreak/>
        <w:t>1</w:t>
      </w:r>
      <w:r>
        <w:rPr>
          <w:lang w:val="it-CH"/>
        </w:rPr>
        <w:t xml:space="preserve"> </w:t>
      </w:r>
      <w:r w:rsidRPr="00B933CD">
        <w:rPr>
          <w:lang w:val="it-CH"/>
        </w:rPr>
        <w:t>L'impiego di prodotti fitosanitari chimici si conforma alle prescrizioni del diritto federale</w:t>
      </w:r>
      <w:r>
        <w:rPr>
          <w:rStyle w:val="Endnotenzeichen"/>
          <w:lang w:val="it-CH"/>
        </w:rPr>
        <w:endnoteReference w:id="37"/>
      </w:r>
      <w:r>
        <w:rPr>
          <w:lang w:val="it-CH"/>
        </w:rPr>
        <w:t>.</w:t>
      </w:r>
    </w:p>
    <w:p w:rsidR="00B933CD" w:rsidRPr="00B933CD" w:rsidRDefault="00B933CD" w:rsidP="00B933CD">
      <w:pPr>
        <w:rPr>
          <w:lang w:val="it-CH"/>
        </w:rPr>
      </w:pPr>
      <w:r w:rsidRPr="00B933CD">
        <w:rPr>
          <w:rStyle w:val="Hochgestellt"/>
          <w:lang w:val="it-CH"/>
        </w:rPr>
        <w:t>2</w:t>
      </w:r>
      <w:r>
        <w:rPr>
          <w:lang w:val="it-CH"/>
        </w:rPr>
        <w:t xml:space="preserve"> </w:t>
      </w:r>
      <w:r w:rsidRPr="00B933CD">
        <w:rPr>
          <w:lang w:val="it-CH"/>
        </w:rPr>
        <w:t>Nell'utilizzo di prodotti per la protezione del legno vanno adottate le misure prescritte dal diritto federale (cfr. art. 14 cpv. 4)</w:t>
      </w:r>
      <w:r>
        <w:rPr>
          <w:rStyle w:val="Endnotenzeichen"/>
          <w:lang w:val="it-CH"/>
        </w:rPr>
        <w:endnoteReference w:id="38"/>
      </w:r>
      <w:r>
        <w:rPr>
          <w:lang w:val="it-CH"/>
        </w:rPr>
        <w:t>.</w:t>
      </w:r>
    </w:p>
    <w:p w:rsidR="00316922" w:rsidRDefault="00B933CD" w:rsidP="00B933CD">
      <w:pPr>
        <w:rPr>
          <w:lang w:val="it-CH"/>
        </w:rPr>
      </w:pPr>
      <w:r w:rsidRPr="00B933CD">
        <w:rPr>
          <w:rStyle w:val="Hochgestellt"/>
          <w:lang w:val="it-CH"/>
        </w:rPr>
        <w:t>3</w:t>
      </w:r>
      <w:r>
        <w:rPr>
          <w:lang w:val="it-CH"/>
        </w:rPr>
        <w:t xml:space="preserve"> </w:t>
      </w:r>
      <w:r w:rsidRPr="00B933CD">
        <w:rPr>
          <w:lang w:val="it-CH"/>
        </w:rPr>
        <w:t>I prodotti fitosanitari e i prodotti per la protezione del legno vanno utilizzati con la massima parsimonia. Se possibile devono essere sostituiti con misure che gravano meno sull'ambiente. Nell'utilizzo vanno osservate le indicazioni riportate sulla confezione e la sche</w:t>
      </w:r>
      <w:r>
        <w:rPr>
          <w:lang w:val="it-CH"/>
        </w:rPr>
        <w:t>da tecnica di sicu</w:t>
      </w:r>
      <w:r w:rsidRPr="00B933CD">
        <w:rPr>
          <w:lang w:val="it-CH"/>
        </w:rPr>
        <w:t>rezza</w:t>
      </w:r>
      <w:r>
        <w:rPr>
          <w:rStyle w:val="Endnotenzeichen"/>
          <w:lang w:val="it-CH"/>
        </w:rPr>
        <w:endnoteReference w:id="39"/>
      </w:r>
      <w:r w:rsidRPr="00B933CD">
        <w:rPr>
          <w:lang w:val="it-CH"/>
        </w:rPr>
        <w:t>.</w:t>
      </w:r>
    </w:p>
    <w:p w:rsidR="00316922" w:rsidRDefault="00B933CD" w:rsidP="004E147E">
      <w:pPr>
        <w:pStyle w:val="berschrift2"/>
        <w:spacing w:before="480" w:after="360"/>
        <w:rPr>
          <w:lang w:val="it-CH"/>
        </w:rPr>
      </w:pPr>
      <w:r w:rsidRPr="00B933CD">
        <w:rPr>
          <w:lang w:val="it-CH"/>
        </w:rPr>
        <w:t>Restrizioni d'utilizzazione e misure di protezione nella zona S2</w:t>
      </w:r>
    </w:p>
    <w:p w:rsidR="00B933CD" w:rsidRPr="00B933CD" w:rsidRDefault="00B933CD" w:rsidP="00B933CD">
      <w:pPr>
        <w:pStyle w:val="Artikel"/>
        <w:rPr>
          <w:lang w:val="it-CH"/>
        </w:rPr>
      </w:pPr>
      <w:r w:rsidRPr="00B933CD">
        <w:rPr>
          <w:lang w:val="it-CH"/>
        </w:rPr>
        <w:t>Art. 17</w:t>
      </w:r>
      <w:r w:rsidRPr="00B933CD">
        <w:rPr>
          <w:lang w:val="it-CH"/>
        </w:rPr>
        <w:tab/>
        <w:t>Principio</w:t>
      </w:r>
    </w:p>
    <w:p w:rsidR="00316922" w:rsidRDefault="00B933CD" w:rsidP="00B933CD">
      <w:pPr>
        <w:rPr>
          <w:lang w:val="it-CH"/>
        </w:rPr>
      </w:pPr>
      <w:r w:rsidRPr="00B933CD">
        <w:rPr>
          <w:lang w:val="it-CH"/>
        </w:rPr>
        <w:t>Nelle zone S2 valgono le prescrizioni valide per la zona S3, nella misura in cui non vengano inasprite dalle disposizioni seguenti.</w:t>
      </w:r>
    </w:p>
    <w:p w:rsidR="00B933CD" w:rsidRPr="00B933CD" w:rsidRDefault="00B933CD" w:rsidP="00B933CD">
      <w:pPr>
        <w:pStyle w:val="Artikel"/>
        <w:rPr>
          <w:lang w:val="it-CH"/>
        </w:rPr>
      </w:pPr>
      <w:r w:rsidRPr="00B933CD">
        <w:rPr>
          <w:lang w:val="it-CH"/>
        </w:rPr>
        <w:t>Art. 18</w:t>
      </w:r>
      <w:r w:rsidRPr="00B933CD">
        <w:rPr>
          <w:lang w:val="it-CH"/>
        </w:rPr>
        <w:tab/>
        <w:t>Costruzioni e impianti</w:t>
      </w:r>
    </w:p>
    <w:p w:rsidR="00B933CD" w:rsidRPr="00B933CD" w:rsidRDefault="00B933CD" w:rsidP="00B933CD">
      <w:pPr>
        <w:rPr>
          <w:lang w:val="it-CH"/>
        </w:rPr>
      </w:pPr>
      <w:r w:rsidRPr="00B933CD">
        <w:rPr>
          <w:rStyle w:val="Hochgestellt"/>
          <w:lang w:val="it-CH"/>
        </w:rPr>
        <w:t>1</w:t>
      </w:r>
      <w:r>
        <w:rPr>
          <w:lang w:val="it-CH"/>
        </w:rPr>
        <w:t xml:space="preserve"> </w:t>
      </w:r>
      <w:r w:rsidRPr="00B933CD">
        <w:rPr>
          <w:lang w:val="it-CH"/>
        </w:rPr>
        <w:t>La costruzione di impianti di ogni tipo (inclusi impianti per le acque di scarico, vasche dei liquami, letamai, impianti viari, posteggi, piazzali antistanti garage, ecc.) non è ammessa; per motivi impor-tanti l'ufficio cantonale preposto alla protezione delle acque può concedere deroghe, se può essere escluso un pericolo per lo sfruttamento dell'acqua potabile</w:t>
      </w:r>
      <w:r>
        <w:rPr>
          <w:rStyle w:val="Endnotenzeichen"/>
          <w:lang w:val="it-CH"/>
        </w:rPr>
        <w:endnoteReference w:id="40"/>
      </w:r>
      <w:r>
        <w:rPr>
          <w:lang w:val="it-CH"/>
        </w:rPr>
        <w:t>.</w:t>
      </w:r>
    </w:p>
    <w:p w:rsidR="00B933CD" w:rsidRPr="00B933CD" w:rsidRDefault="00B933CD" w:rsidP="00B933CD">
      <w:pPr>
        <w:rPr>
          <w:rStyle w:val="FormatvorlageKursiv"/>
          <w:lang w:val="it-CH"/>
        </w:rPr>
      </w:pPr>
      <w:r w:rsidRPr="00B933CD">
        <w:rPr>
          <w:rStyle w:val="FormatvorlageKursiv"/>
          <w:lang w:val="it-CH"/>
        </w:rPr>
        <w:t>Completamento per il caso in cui alla zona S2 si sovrapponga una zona edificabile già esi</w:t>
      </w:r>
      <w:r>
        <w:rPr>
          <w:rStyle w:val="FormatvorlageKursiv"/>
          <w:lang w:val="it-CH"/>
        </w:rPr>
        <w:t>stente, urba</w:t>
      </w:r>
      <w:r w:rsidRPr="00B933CD">
        <w:rPr>
          <w:rStyle w:val="FormatvorlageKursiv"/>
          <w:lang w:val="it-CH"/>
        </w:rPr>
        <w:t xml:space="preserve">nizzata e ampiamente edificata: </w:t>
      </w:r>
    </w:p>
    <w:p w:rsidR="00316922" w:rsidRPr="00B933CD" w:rsidRDefault="00B933CD" w:rsidP="00B933CD">
      <w:pPr>
        <w:rPr>
          <w:rStyle w:val="FormatvorlageKursiv"/>
          <w:lang w:val="it-CH"/>
        </w:rPr>
      </w:pPr>
      <w:r w:rsidRPr="00B933CD">
        <w:rPr>
          <w:rStyle w:val="FormatvorlageKursiv"/>
          <w:lang w:val="it-CH"/>
        </w:rPr>
        <w:t>2 Nella zona edificabile esistente [nome] si possono eccezionalmente autorizzare costruzioni e impianti, se sono state adottate tutte le misure che entrano in questione e che sono necessa¬rie per escludere una messa in pericolo dello sfruttamento dell'acqua potabile (riscaldamento e produzione di acqua calda senza ricorso a olio da riscaldamento, scavi al massimo fino alla profondità di congelamento; tubi a doppia parete per condotte di scarico; controlli frequenti e a scadenze regolari degli impianti p</w:t>
      </w:r>
      <w:r>
        <w:rPr>
          <w:rStyle w:val="FormatvorlageKursiv"/>
          <w:lang w:val="it-CH"/>
        </w:rPr>
        <w:t>er le acque di scarico, ecc.).</w:t>
      </w:r>
    </w:p>
    <w:p w:rsidR="00B933CD" w:rsidRPr="00B933CD" w:rsidRDefault="00B933CD" w:rsidP="00B933CD">
      <w:pPr>
        <w:pStyle w:val="Artikel"/>
        <w:rPr>
          <w:lang w:val="it-CH"/>
        </w:rPr>
      </w:pPr>
      <w:r w:rsidRPr="00B933CD">
        <w:rPr>
          <w:lang w:val="it-CH"/>
        </w:rPr>
        <w:t>Art. 19</w:t>
      </w:r>
      <w:r w:rsidRPr="00B933CD">
        <w:rPr>
          <w:lang w:val="it-CH"/>
        </w:rPr>
        <w:tab/>
        <w:t>Impianti per le acque di scarico, smaltimento delle acque di scarico</w:t>
      </w:r>
    </w:p>
    <w:p w:rsidR="00B933CD" w:rsidRPr="00B933CD" w:rsidRDefault="00B933CD" w:rsidP="00B933CD">
      <w:pPr>
        <w:rPr>
          <w:lang w:val="it-CH"/>
        </w:rPr>
      </w:pPr>
      <w:r w:rsidRPr="00B933CD">
        <w:rPr>
          <w:rStyle w:val="Hochgestellt"/>
          <w:lang w:val="it-CH"/>
        </w:rPr>
        <w:t>1</w:t>
      </w:r>
      <w:r>
        <w:rPr>
          <w:lang w:val="it-CH"/>
        </w:rPr>
        <w:t xml:space="preserve"> </w:t>
      </w:r>
      <w:r w:rsidRPr="00B933CD">
        <w:rPr>
          <w:lang w:val="it-CH"/>
        </w:rPr>
        <w:t xml:space="preserve">Se è dimostrato che per motivi di dislivello o per altri motivi cogenti è inevitabile che condotte di scarico attraversino la zona S2, queste possono essere eccezionalmente autorizzate. In simili casi vanno adottate misure di protezione che permettano di individuare immediatamente perdite e che trattengano i liquidi fuoriusciti </w:t>
      </w:r>
      <w:r w:rsidRPr="004E147E">
        <w:rPr>
          <w:highlight w:val="yellow"/>
          <w:lang w:val="it-CH"/>
        </w:rPr>
        <w:t>(p.es. tubi a doppia parete)</w:t>
      </w:r>
      <w:r w:rsidRPr="00B933CD">
        <w:rPr>
          <w:lang w:val="it-CH"/>
        </w:rPr>
        <w:t>.</w:t>
      </w:r>
    </w:p>
    <w:p w:rsidR="00316922" w:rsidRDefault="00B933CD" w:rsidP="00B933CD">
      <w:pPr>
        <w:rPr>
          <w:lang w:val="it-CH"/>
        </w:rPr>
      </w:pPr>
      <w:r w:rsidRPr="00B933CD">
        <w:rPr>
          <w:rStyle w:val="Hochgestellt"/>
          <w:lang w:val="it-CH"/>
        </w:rPr>
        <w:t>2</w:t>
      </w:r>
      <w:r>
        <w:rPr>
          <w:lang w:val="it-CH"/>
        </w:rPr>
        <w:t xml:space="preserve"> </w:t>
      </w:r>
      <w:r w:rsidRPr="00B933CD">
        <w:rPr>
          <w:lang w:val="it-CH"/>
        </w:rPr>
        <w:t>Non è ammessa l'infiltrazione di acque di scarico</w:t>
      </w:r>
      <w:r>
        <w:rPr>
          <w:rStyle w:val="Endnotenzeichen"/>
          <w:lang w:val="it-CH"/>
        </w:rPr>
        <w:endnoteReference w:id="41"/>
      </w:r>
      <w:r w:rsidRPr="00B933CD">
        <w:rPr>
          <w:lang w:val="it-CH"/>
        </w:rPr>
        <w:t>.</w:t>
      </w:r>
    </w:p>
    <w:p w:rsidR="00B933CD" w:rsidRPr="00B933CD" w:rsidRDefault="00B933CD" w:rsidP="00B933CD">
      <w:pPr>
        <w:pStyle w:val="Artikel"/>
        <w:rPr>
          <w:lang w:val="it-CH"/>
        </w:rPr>
      </w:pPr>
      <w:r w:rsidRPr="00B933CD">
        <w:rPr>
          <w:lang w:val="it-CH"/>
        </w:rPr>
        <w:t>Art. 20</w:t>
      </w:r>
      <w:r w:rsidRPr="00B933CD">
        <w:rPr>
          <w:lang w:val="it-CH"/>
        </w:rPr>
        <w:tab/>
        <w:t>St</w:t>
      </w:r>
      <w:r>
        <w:rPr>
          <w:lang w:val="it-CH"/>
        </w:rPr>
        <w:t>rade</w:t>
      </w:r>
    </w:p>
    <w:p w:rsidR="00B933CD" w:rsidRPr="00B933CD" w:rsidRDefault="00B933CD" w:rsidP="00B933CD">
      <w:pPr>
        <w:rPr>
          <w:lang w:val="it-CH"/>
        </w:rPr>
      </w:pPr>
      <w:r w:rsidRPr="00B933CD">
        <w:rPr>
          <w:rStyle w:val="Hochgestellt"/>
          <w:lang w:val="it-CH"/>
        </w:rPr>
        <w:t>1</w:t>
      </w:r>
      <w:r>
        <w:rPr>
          <w:lang w:val="it-CH"/>
        </w:rPr>
        <w:t xml:space="preserve"> </w:t>
      </w:r>
      <w:r w:rsidRPr="00B933CD">
        <w:rPr>
          <w:lang w:val="it-CH"/>
        </w:rPr>
        <w:t>Strade agricole e forestali sono eccezionalmente ammesse, se servono esclusivamente al traffico dei confinanti per l'agricoltura e l'economia forestale, nonché per scopi inerenti l'approvvigiona-mento di acqua potabile. Devono essere realizzate con una pavimentazione impermeabile e bordi, in modo che le acque di scarico prodotte possano essere smaltite al di fuori delle zone di protezione.</w:t>
      </w:r>
    </w:p>
    <w:p w:rsidR="00316922" w:rsidRDefault="00B933CD" w:rsidP="00B933CD">
      <w:pPr>
        <w:rPr>
          <w:lang w:val="it-CH"/>
        </w:rPr>
      </w:pPr>
      <w:r w:rsidRPr="00B933CD">
        <w:rPr>
          <w:rStyle w:val="Hochgestellt"/>
          <w:lang w:val="it-CH"/>
        </w:rPr>
        <w:lastRenderedPageBreak/>
        <w:t>2</w:t>
      </w:r>
      <w:r>
        <w:rPr>
          <w:lang w:val="it-CH"/>
        </w:rPr>
        <w:t xml:space="preserve"> </w:t>
      </w:r>
      <w:r w:rsidRPr="00B933CD">
        <w:rPr>
          <w:lang w:val="it-CH"/>
        </w:rPr>
        <w:t>Le strade che per motivi cogenti devono essere aperte al traffico veicolare generale possono eccezionalmente essere autorizzate, se è dimostrato che il loro attraversamento della zo</w:t>
      </w:r>
      <w:r>
        <w:rPr>
          <w:lang w:val="it-CH"/>
        </w:rPr>
        <w:t>na S2 è ine</w:t>
      </w:r>
      <w:r w:rsidRPr="00B933CD">
        <w:rPr>
          <w:lang w:val="it-CH"/>
        </w:rPr>
        <w:t>vitabile. Vanno adottati tutti i provvedimenti secondo le direttive concernenti le misure di protezione delle acque nella costruzione stradale</w:t>
      </w:r>
      <w:r>
        <w:rPr>
          <w:rStyle w:val="Endnotenzeichen"/>
          <w:lang w:val="it-CH"/>
        </w:rPr>
        <w:endnoteReference w:id="42"/>
      </w:r>
      <w:r>
        <w:rPr>
          <w:lang w:val="it-CH"/>
        </w:rPr>
        <w:t xml:space="preserve"> </w:t>
      </w:r>
      <w:r w:rsidRPr="00B933CD">
        <w:rPr>
          <w:lang w:val="it-CH"/>
        </w:rPr>
        <w:t>necessari per escludere una messa in pericolo dello sfruttamento dell'acqua potabile.</w:t>
      </w:r>
    </w:p>
    <w:p w:rsidR="00B933CD" w:rsidRPr="00B933CD" w:rsidRDefault="00B933CD" w:rsidP="00B933CD">
      <w:pPr>
        <w:pStyle w:val="Artikel"/>
        <w:rPr>
          <w:lang w:val="it-CH"/>
        </w:rPr>
      </w:pPr>
      <w:r w:rsidRPr="00B933CD">
        <w:rPr>
          <w:lang w:val="it-CH"/>
        </w:rPr>
        <w:t>Art. 21</w:t>
      </w:r>
      <w:r w:rsidRPr="00B933CD">
        <w:rPr>
          <w:lang w:val="it-CH"/>
        </w:rPr>
        <w:tab/>
        <w:t>Impianti con liquidi a potenziale rischio di inquinamento delle acque</w:t>
      </w:r>
    </w:p>
    <w:p w:rsidR="00316922" w:rsidRDefault="00B933CD" w:rsidP="00B933CD">
      <w:pPr>
        <w:rPr>
          <w:lang w:val="it-CH"/>
        </w:rPr>
      </w:pPr>
      <w:r w:rsidRPr="00B933CD">
        <w:rPr>
          <w:lang w:val="it-CH"/>
        </w:rPr>
        <w:t>Sono ammessi unicamente contenitori accessibili da ogni parte adibiti</w:t>
      </w:r>
      <w:r>
        <w:rPr>
          <w:lang w:val="it-CH"/>
        </w:rPr>
        <w:t xml:space="preserve"> al deposito di liquidi a poten</w:t>
      </w:r>
      <w:r w:rsidRPr="00B933CD">
        <w:rPr>
          <w:lang w:val="it-CH"/>
        </w:rPr>
        <w:t>ziale rischio di inquinamento delle acque il cui contenuto serve esclusivamente al trattamento dell'acqua, così come le condotte non interrate e le stazioni di travaso necessarie al loro sfrutta-mento.</w:t>
      </w:r>
    </w:p>
    <w:p w:rsidR="00B933CD" w:rsidRPr="00B933CD" w:rsidRDefault="00B933CD" w:rsidP="00B933CD">
      <w:pPr>
        <w:pStyle w:val="Artikel"/>
        <w:rPr>
          <w:lang w:val="it-CH"/>
        </w:rPr>
      </w:pPr>
      <w:r w:rsidRPr="00B933CD">
        <w:rPr>
          <w:lang w:val="it-CH"/>
        </w:rPr>
        <w:t xml:space="preserve">Art. 22 </w:t>
      </w:r>
      <w:r w:rsidRPr="00B933CD">
        <w:rPr>
          <w:lang w:val="it-CH"/>
        </w:rPr>
        <w:tab/>
        <w:t>Utilizzo agricolo, forestale e orticolo</w:t>
      </w:r>
    </w:p>
    <w:p w:rsidR="00B933CD" w:rsidRPr="00B933CD" w:rsidRDefault="00B933CD" w:rsidP="00B933CD">
      <w:pPr>
        <w:rPr>
          <w:lang w:val="it-CH"/>
        </w:rPr>
      </w:pPr>
      <w:r w:rsidRPr="00B933CD">
        <w:rPr>
          <w:rStyle w:val="Hochgestellt"/>
          <w:lang w:val="it-CH"/>
        </w:rPr>
        <w:t>1</w:t>
      </w:r>
      <w:r>
        <w:rPr>
          <w:lang w:val="it-CH"/>
        </w:rPr>
        <w:t xml:space="preserve"> </w:t>
      </w:r>
      <w:r w:rsidRPr="00B933CD">
        <w:rPr>
          <w:lang w:val="it-CH"/>
        </w:rPr>
        <w:t>Colture agricole intensive (come p.es. frutticoltura, vigneti, orticoltura), nonché giardini di famiglia (orti familiari) non sono ammessi. Sono permessi prati permanenti, pascoli e terreni coltivi (incl. prati artificiali), frutteti ad alto fusto e piccoli giardini. Si deve mirare a una quota di prati permanenti il più possibile elevata.</w:t>
      </w:r>
    </w:p>
    <w:p w:rsidR="00316922" w:rsidRDefault="00B933CD" w:rsidP="00B933CD">
      <w:pPr>
        <w:rPr>
          <w:lang w:val="it-CH"/>
        </w:rPr>
      </w:pPr>
      <w:r w:rsidRPr="00B933CD">
        <w:rPr>
          <w:rStyle w:val="Hochgestellt"/>
          <w:lang w:val="it-CH"/>
        </w:rPr>
        <w:t>2</w:t>
      </w:r>
      <w:r>
        <w:rPr>
          <w:lang w:val="it-CH"/>
        </w:rPr>
        <w:t xml:space="preserve"> </w:t>
      </w:r>
      <w:r w:rsidRPr="00B933CD">
        <w:rPr>
          <w:lang w:val="it-CH"/>
        </w:rPr>
        <w:t>Non sono ammessi piantagioni e vivai, nonché dissodamenti e tagli rasi.</w:t>
      </w:r>
    </w:p>
    <w:p w:rsidR="00B933CD" w:rsidRPr="00B933CD" w:rsidRDefault="00B933CD" w:rsidP="00B933CD">
      <w:pPr>
        <w:pStyle w:val="Artikel"/>
        <w:rPr>
          <w:lang w:val="it-IT"/>
        </w:rPr>
      </w:pPr>
      <w:r w:rsidRPr="00B933CD">
        <w:rPr>
          <w:lang w:val="it-IT"/>
        </w:rPr>
        <w:t>Art. 23</w:t>
      </w:r>
      <w:r w:rsidRPr="00B933CD">
        <w:rPr>
          <w:lang w:val="it-IT"/>
        </w:rPr>
        <w:tab/>
        <w:t>Impiego di concimi</w:t>
      </w:r>
    </w:p>
    <w:p w:rsidR="00316922" w:rsidRPr="00B933CD" w:rsidRDefault="00B933CD" w:rsidP="00B933CD">
      <w:pPr>
        <w:rPr>
          <w:lang w:val="it-IT"/>
        </w:rPr>
      </w:pPr>
      <w:r w:rsidRPr="00B933CD">
        <w:rPr>
          <w:lang w:val="it-IT"/>
        </w:rPr>
        <w:t>L'impiego di concimi aziendali liquidi (colaticcio) e di concimi di riciclaggio non è ammesso</w:t>
      </w:r>
      <w:r>
        <w:rPr>
          <w:rStyle w:val="Endnotenzeichen"/>
          <w:lang w:val="it-IT"/>
        </w:rPr>
        <w:endnoteReference w:id="43"/>
      </w:r>
      <w:r w:rsidRPr="00B933CD">
        <w:rPr>
          <w:lang w:val="it-IT"/>
        </w:rPr>
        <w:t>. Quali concimi possono essere impiegati letame, concimi minerali, concimi solidi e concimi verdi.</w:t>
      </w:r>
    </w:p>
    <w:p w:rsidR="00B933CD" w:rsidRPr="00B933CD" w:rsidRDefault="00B933CD" w:rsidP="00B933CD">
      <w:pPr>
        <w:pStyle w:val="Artikel"/>
        <w:rPr>
          <w:lang w:val="it-CH"/>
        </w:rPr>
      </w:pPr>
      <w:r>
        <w:rPr>
          <w:lang w:val="it-CH"/>
        </w:rPr>
        <w:t>Art. 24</w:t>
      </w:r>
      <w:r w:rsidRPr="00B933CD">
        <w:rPr>
          <w:lang w:val="it-CH"/>
        </w:rPr>
        <w:tab/>
        <w:t>Impiego di prodotti fitosanitari e per la protezione del legno</w:t>
      </w:r>
    </w:p>
    <w:p w:rsidR="00B933CD" w:rsidRPr="00B933CD" w:rsidRDefault="00B933CD" w:rsidP="00B933CD">
      <w:pPr>
        <w:rPr>
          <w:lang w:val="it-CH"/>
        </w:rPr>
      </w:pPr>
      <w:r w:rsidRPr="00B933CD">
        <w:rPr>
          <w:rStyle w:val="Hochgestellt"/>
          <w:lang w:val="it-CH"/>
        </w:rPr>
        <w:t>1</w:t>
      </w:r>
      <w:r>
        <w:rPr>
          <w:lang w:val="it-CH"/>
        </w:rPr>
        <w:t xml:space="preserve"> </w:t>
      </w:r>
      <w:r w:rsidRPr="00B933CD">
        <w:rPr>
          <w:lang w:val="it-CH"/>
        </w:rPr>
        <w:t>Su e lungo binari ferroviari non possono essere impiegati prodotti fitosanitari</w:t>
      </w:r>
      <w:r>
        <w:rPr>
          <w:rStyle w:val="Endnotenzeichen"/>
          <w:lang w:val="it-CH"/>
        </w:rPr>
        <w:endnoteReference w:id="44"/>
      </w:r>
      <w:r w:rsidRPr="00B933CD">
        <w:rPr>
          <w:lang w:val="it-CH"/>
        </w:rPr>
        <w:t>.</w:t>
      </w:r>
    </w:p>
    <w:p w:rsidR="00B933CD" w:rsidRPr="00B933CD" w:rsidRDefault="00B933CD" w:rsidP="00B933CD">
      <w:pPr>
        <w:rPr>
          <w:lang w:val="it-CH"/>
        </w:rPr>
      </w:pPr>
      <w:r w:rsidRPr="00B933CD">
        <w:rPr>
          <w:rStyle w:val="Hochgestellt"/>
          <w:lang w:val="it-CH"/>
        </w:rPr>
        <w:t>2</w:t>
      </w:r>
      <w:r>
        <w:rPr>
          <w:lang w:val="it-CH"/>
        </w:rPr>
        <w:t xml:space="preserve"> </w:t>
      </w:r>
      <w:r w:rsidRPr="004E147E">
        <w:rPr>
          <w:highlight w:val="yellow"/>
          <w:lang w:val="it-CH"/>
        </w:rPr>
        <w:t>Secondo l’Ufficio federale dell’agricoltura</w:t>
      </w:r>
      <w:r w:rsidRPr="00B933CD">
        <w:rPr>
          <w:lang w:val="it-CH"/>
        </w:rPr>
        <w:t xml:space="preserve"> possono essere utilizzati soltanto prodotti fitosanitari che non sono vietati. L'Ufficio federale dell'agricoltura tiene un elenco dei prodotti fitosanitari che non possono essere impiegati nella zona di protezione S2</w:t>
      </w:r>
      <w:r>
        <w:rPr>
          <w:rStyle w:val="Endnotenzeichen"/>
          <w:lang w:val="it-CH"/>
        </w:rPr>
        <w:endnoteReference w:id="45"/>
      </w:r>
      <w:r w:rsidRPr="00B933CD">
        <w:rPr>
          <w:lang w:val="it-CH"/>
        </w:rPr>
        <w:t>.</w:t>
      </w:r>
    </w:p>
    <w:p w:rsidR="00316922" w:rsidRDefault="00B933CD" w:rsidP="00B933CD">
      <w:pPr>
        <w:rPr>
          <w:lang w:val="it-CH"/>
        </w:rPr>
      </w:pPr>
      <w:r w:rsidRPr="00B933CD">
        <w:rPr>
          <w:rStyle w:val="Hochgestellt"/>
          <w:lang w:val="it-CH"/>
        </w:rPr>
        <w:t>3</w:t>
      </w:r>
      <w:r>
        <w:rPr>
          <w:lang w:val="it-CH"/>
        </w:rPr>
        <w:t xml:space="preserve"> </w:t>
      </w:r>
      <w:r w:rsidRPr="00B933CD">
        <w:rPr>
          <w:lang w:val="it-CH"/>
        </w:rPr>
        <w:t>L'impiego di prodotti per la protezione del legno, nonché il deposito di legna trattata con prodotti per la protezione del legno sono vietati</w:t>
      </w:r>
      <w:r>
        <w:rPr>
          <w:rStyle w:val="Endnotenzeichen"/>
          <w:lang w:val="it-CH"/>
        </w:rPr>
        <w:endnoteReference w:id="46"/>
      </w:r>
      <w:r w:rsidRPr="00B933CD">
        <w:rPr>
          <w:lang w:val="it-CH"/>
        </w:rPr>
        <w:t>.</w:t>
      </w:r>
    </w:p>
    <w:p w:rsidR="00B933CD" w:rsidRPr="00B933CD" w:rsidRDefault="00B933CD" w:rsidP="00B933CD">
      <w:pPr>
        <w:pStyle w:val="Artikel"/>
        <w:rPr>
          <w:lang w:val="it-CH"/>
        </w:rPr>
      </w:pPr>
      <w:r w:rsidRPr="00B933CD">
        <w:rPr>
          <w:lang w:val="it-CH"/>
        </w:rPr>
        <w:t>Art. 25</w:t>
      </w:r>
      <w:r w:rsidRPr="00B933CD">
        <w:rPr>
          <w:lang w:val="it-CH"/>
        </w:rPr>
        <w:tab/>
        <w:t>Scavi e altre attività</w:t>
      </w:r>
    </w:p>
    <w:p w:rsidR="00316922" w:rsidRDefault="00B933CD" w:rsidP="00B933CD">
      <w:pPr>
        <w:rPr>
          <w:lang w:val="it-CH"/>
        </w:rPr>
      </w:pPr>
      <w:r w:rsidRPr="004E147E">
        <w:rPr>
          <w:highlight w:val="yellow"/>
          <w:lang w:val="it-CH"/>
        </w:rPr>
        <w:t>Scavi che modificano in modo pregiudizievole la funzione protettiva del rivestimento (suolo e strato di copertura)</w:t>
      </w:r>
      <w:r w:rsidR="00EF6571" w:rsidRPr="004E147E">
        <w:rPr>
          <w:rStyle w:val="Endnotenzeichen"/>
          <w:highlight w:val="yellow"/>
          <w:lang w:val="it-CH"/>
        </w:rPr>
        <w:endnoteReference w:id="47"/>
      </w:r>
      <w:r w:rsidRPr="004E147E">
        <w:rPr>
          <w:highlight w:val="yellow"/>
          <w:lang w:val="it-CH"/>
        </w:rPr>
        <w:t>, nonché altre attività che minacciano lo sfruttamento dell'acqua potabile</w:t>
      </w:r>
      <w:r w:rsidR="00EF6571" w:rsidRPr="004E147E">
        <w:rPr>
          <w:rStyle w:val="Endnotenzeichen"/>
          <w:highlight w:val="yellow"/>
          <w:lang w:val="it-CH"/>
        </w:rPr>
        <w:endnoteReference w:id="48"/>
      </w:r>
      <w:r w:rsidRPr="004E147E">
        <w:rPr>
          <w:highlight w:val="yellow"/>
          <w:lang w:val="it-CH"/>
        </w:rPr>
        <w:t>, non sono ammessi.</w:t>
      </w:r>
    </w:p>
    <w:p w:rsidR="00B933CD" w:rsidRDefault="00EF6571" w:rsidP="004E147E">
      <w:pPr>
        <w:pStyle w:val="berschrift2"/>
        <w:spacing w:before="480" w:after="360"/>
        <w:rPr>
          <w:lang w:val="it-CH"/>
        </w:rPr>
      </w:pPr>
      <w:r w:rsidRPr="00EF6571">
        <w:rPr>
          <w:lang w:val="it-CH"/>
        </w:rPr>
        <w:t>Restrizioni d'utilizzazione e misure di protezione nella zona S1</w:t>
      </w:r>
    </w:p>
    <w:p w:rsidR="00EF6571" w:rsidRPr="00EF6571" w:rsidRDefault="00EF6571" w:rsidP="00EF6571">
      <w:pPr>
        <w:pStyle w:val="Artikel"/>
        <w:rPr>
          <w:lang w:val="it-CH"/>
        </w:rPr>
      </w:pPr>
      <w:r w:rsidRPr="00EF6571">
        <w:rPr>
          <w:lang w:val="it-CH"/>
        </w:rPr>
        <w:t>Art. 26</w:t>
      </w:r>
      <w:r w:rsidRPr="00EF6571">
        <w:rPr>
          <w:lang w:val="it-CH"/>
        </w:rPr>
        <w:tab/>
        <w:t>Utilizzazioni ammesse</w:t>
      </w:r>
    </w:p>
    <w:p w:rsidR="00EF6571" w:rsidRPr="00EF6571" w:rsidRDefault="00EF6571" w:rsidP="00EF6571">
      <w:pPr>
        <w:rPr>
          <w:lang w:val="it-CH"/>
        </w:rPr>
      </w:pPr>
      <w:r w:rsidRPr="00EF6571">
        <w:rPr>
          <w:rStyle w:val="Hochgestellt"/>
          <w:lang w:val="it-CH"/>
        </w:rPr>
        <w:lastRenderedPageBreak/>
        <w:t>1</w:t>
      </w:r>
      <w:r>
        <w:rPr>
          <w:lang w:val="it-CH"/>
        </w:rPr>
        <w:t xml:space="preserve"> </w:t>
      </w:r>
      <w:r w:rsidRPr="00EF6571">
        <w:rPr>
          <w:lang w:val="it-CH"/>
        </w:rPr>
        <w:t>Nella zona S1 sono ammessi solo utilizzazioni, costruzioni e impianti necessari per la captazione d'acqua, nonché l'utilizzo quale prato non concimato con sfalcio (erba falciata non raccolta</w:t>
      </w:r>
      <w:r>
        <w:rPr>
          <w:rStyle w:val="Endnotenzeichen"/>
          <w:lang w:val="it-CH"/>
        </w:rPr>
        <w:endnoteReference w:id="49"/>
      </w:r>
      <w:r w:rsidRPr="00EF6571">
        <w:rPr>
          <w:lang w:val="it-CH"/>
        </w:rPr>
        <w:t>) oppure quale bosco. Il pascolo non è ammesso.</w:t>
      </w:r>
    </w:p>
    <w:p w:rsidR="00B933CD" w:rsidRDefault="00EF6571" w:rsidP="00EF6571">
      <w:pPr>
        <w:rPr>
          <w:lang w:val="it-CH"/>
        </w:rPr>
      </w:pPr>
      <w:r w:rsidRPr="00EF6571">
        <w:rPr>
          <w:rStyle w:val="Hochgestellt"/>
          <w:lang w:val="it-CH"/>
        </w:rPr>
        <w:t>2</w:t>
      </w:r>
      <w:r>
        <w:rPr>
          <w:lang w:val="it-CH"/>
        </w:rPr>
        <w:t xml:space="preserve"> </w:t>
      </w:r>
      <w:r w:rsidRPr="00EF6571">
        <w:rPr>
          <w:lang w:val="it-CH"/>
        </w:rPr>
        <w:t>La zona S1 deve essere demarcata permanentemente e di norma recintata.</w:t>
      </w:r>
    </w:p>
    <w:p w:rsidR="00B933CD" w:rsidRDefault="00EF6571" w:rsidP="004E147E">
      <w:pPr>
        <w:pStyle w:val="berschrift1"/>
        <w:ind w:left="357" w:hanging="357"/>
        <w:rPr>
          <w:lang w:val="it-CH"/>
        </w:rPr>
      </w:pPr>
      <w:r w:rsidRPr="00EF6571">
        <w:rPr>
          <w:lang w:val="it-CH"/>
        </w:rPr>
        <w:t>Disposizioni penali</w:t>
      </w:r>
    </w:p>
    <w:p w:rsidR="00EF6571" w:rsidRPr="00EF6571" w:rsidRDefault="00EF6571" w:rsidP="00EF6571">
      <w:pPr>
        <w:pStyle w:val="Artikel"/>
        <w:rPr>
          <w:lang w:val="it-CH"/>
        </w:rPr>
      </w:pPr>
      <w:r>
        <w:rPr>
          <w:lang w:val="it-CH"/>
        </w:rPr>
        <w:t>Art. 27</w:t>
      </w:r>
      <w:r>
        <w:rPr>
          <w:lang w:val="it-CH"/>
        </w:rPr>
        <w:tab/>
        <w:t>Contravvenzioni</w:t>
      </w:r>
    </w:p>
    <w:p w:rsidR="00EF6571" w:rsidRPr="00EF6571" w:rsidRDefault="00EF6571" w:rsidP="00EF6571">
      <w:pPr>
        <w:rPr>
          <w:lang w:val="it-CH"/>
        </w:rPr>
      </w:pPr>
      <w:r w:rsidRPr="00EF6571">
        <w:rPr>
          <w:rStyle w:val="Hochgestellt"/>
          <w:lang w:val="it-CH"/>
        </w:rPr>
        <w:t>1</w:t>
      </w:r>
      <w:r>
        <w:rPr>
          <w:lang w:val="it-CH"/>
        </w:rPr>
        <w:t xml:space="preserve"> </w:t>
      </w:r>
      <w:r w:rsidRPr="00EF6571">
        <w:rPr>
          <w:lang w:val="it-CH"/>
        </w:rPr>
        <w:t>Infrazioni al presente regolamento e alle decisioni emanate su di esso sono punite dal municipio con la multa fino a 5'000 franchi, sempre che non ricadano sotto la legislazione fede</w:t>
      </w:r>
      <w:r>
        <w:rPr>
          <w:lang w:val="it-CH"/>
        </w:rPr>
        <w:t>rale</w:t>
      </w:r>
      <w:r>
        <w:rPr>
          <w:rStyle w:val="Endnotenzeichen"/>
          <w:lang w:val="it-CH"/>
        </w:rPr>
        <w:endnoteReference w:id="50"/>
      </w:r>
      <w:r w:rsidRPr="00EF6571">
        <w:rPr>
          <w:lang w:val="it-CH"/>
        </w:rPr>
        <w:t xml:space="preserve"> oppure cantonale. Se l'autore agisce per cupidigia, possono essere inflitte multe più elevate.</w:t>
      </w:r>
    </w:p>
    <w:p w:rsidR="00EF6571" w:rsidRPr="00EF6571" w:rsidRDefault="00EF6571" w:rsidP="00EF6571">
      <w:pPr>
        <w:rPr>
          <w:lang w:val="it-CH"/>
        </w:rPr>
      </w:pPr>
      <w:r w:rsidRPr="00EF6571">
        <w:rPr>
          <w:rStyle w:val="Hochgestellt"/>
          <w:lang w:val="it-CH"/>
        </w:rPr>
        <w:t>2</w:t>
      </w:r>
      <w:r>
        <w:rPr>
          <w:lang w:val="it-CH"/>
        </w:rPr>
        <w:t xml:space="preserve"> </w:t>
      </w:r>
      <w:r w:rsidRPr="00EF6571">
        <w:rPr>
          <w:lang w:val="it-CH"/>
        </w:rPr>
        <w:t>Il municipio è competente per perseguire e giudicare infrazioni conformemente al cpv. 1. Esso accerta la fattispecie e la situazione personale degli interessati. Questi ultimi vanno sentiti prima che venga inflitta la multa.</w:t>
      </w:r>
    </w:p>
    <w:p w:rsidR="00EF6571" w:rsidRPr="00EF6571" w:rsidRDefault="00EF6571" w:rsidP="00EF6571">
      <w:pPr>
        <w:rPr>
          <w:lang w:val="it-CH"/>
        </w:rPr>
      </w:pPr>
      <w:r w:rsidRPr="00EF6571">
        <w:rPr>
          <w:rStyle w:val="Hochgestellt"/>
          <w:lang w:val="it-CH"/>
        </w:rPr>
        <w:t>3</w:t>
      </w:r>
      <w:r>
        <w:rPr>
          <w:lang w:val="it-CH"/>
        </w:rPr>
        <w:t xml:space="preserve"> </w:t>
      </w:r>
      <w:r w:rsidRPr="00EF6571">
        <w:rPr>
          <w:lang w:val="it-CH"/>
        </w:rPr>
        <w:t>Il perseguimento penale e la pena si prescrivono in tre anni</w:t>
      </w:r>
      <w:r>
        <w:rPr>
          <w:rStyle w:val="Endnotenzeichen"/>
          <w:lang w:val="it-CH"/>
        </w:rPr>
        <w:endnoteReference w:id="51"/>
      </w:r>
      <w:r>
        <w:rPr>
          <w:lang w:val="it-CH"/>
        </w:rPr>
        <w:t>.</w:t>
      </w:r>
    </w:p>
    <w:p w:rsidR="00EF6571" w:rsidRDefault="00EF6571" w:rsidP="00EF6571">
      <w:pPr>
        <w:rPr>
          <w:lang w:val="it-CH"/>
        </w:rPr>
      </w:pPr>
      <w:r w:rsidRPr="00EF6571">
        <w:rPr>
          <w:rStyle w:val="Hochgestellt"/>
          <w:lang w:val="it-CH"/>
        </w:rPr>
        <w:t>4</w:t>
      </w:r>
      <w:r>
        <w:rPr>
          <w:lang w:val="it-CH"/>
        </w:rPr>
        <w:t xml:space="preserve"> </w:t>
      </w:r>
      <w:r w:rsidRPr="00EF6571">
        <w:rPr>
          <w:lang w:val="it-CH"/>
        </w:rPr>
        <w:t>Gli articoli 6 e 7 della legge federale sul diritto penale amministrativo (DPA) valgono per analogia per infrazioni al presente regolamento.</w:t>
      </w:r>
    </w:p>
    <w:p w:rsidR="00EF6571" w:rsidRDefault="00EF6571" w:rsidP="004E147E">
      <w:pPr>
        <w:pStyle w:val="berschrift1"/>
        <w:ind w:left="357" w:hanging="357"/>
        <w:rPr>
          <w:lang w:val="it-CH"/>
        </w:rPr>
      </w:pPr>
      <w:r w:rsidRPr="00EF6571">
        <w:rPr>
          <w:lang w:val="it-CH"/>
        </w:rPr>
        <w:t>Disposizioni transitorie e finali</w:t>
      </w:r>
    </w:p>
    <w:p w:rsidR="00EF6571" w:rsidRPr="00EF6571" w:rsidRDefault="00EF6571" w:rsidP="00EF6571">
      <w:pPr>
        <w:pStyle w:val="Artikel"/>
        <w:rPr>
          <w:lang w:val="it-CH"/>
        </w:rPr>
      </w:pPr>
      <w:r w:rsidRPr="00EF6571">
        <w:rPr>
          <w:lang w:val="it-CH"/>
        </w:rPr>
        <w:t>Art. 28</w:t>
      </w:r>
      <w:r w:rsidRPr="00EF6571">
        <w:rPr>
          <w:lang w:val="it-CH"/>
        </w:rPr>
        <w:tab/>
        <w:t xml:space="preserve">Costruzioni e impianti esistenti </w:t>
      </w:r>
    </w:p>
    <w:p w:rsidR="00EF6571" w:rsidRPr="00EF6571" w:rsidRDefault="00EF6571" w:rsidP="00EF6571">
      <w:pPr>
        <w:rPr>
          <w:lang w:val="it-CH"/>
        </w:rPr>
      </w:pPr>
      <w:r w:rsidRPr="00EF6571">
        <w:rPr>
          <w:rStyle w:val="Hochgestellt"/>
          <w:lang w:val="it-CH"/>
        </w:rPr>
        <w:t>1</w:t>
      </w:r>
      <w:r>
        <w:rPr>
          <w:lang w:val="it-CH"/>
        </w:rPr>
        <w:t xml:space="preserve"> </w:t>
      </w:r>
      <w:r w:rsidRPr="00EF6571">
        <w:rPr>
          <w:lang w:val="it-CH"/>
        </w:rPr>
        <w:t>Impianti esistenti che non corrispondono alle prescrizioni del presente regolamento vanno risanati o posti fuori esercizio appena se ne presenta l'occasione, tuttavia al più tardi entro i termini indicati nell'appendice 2. Le misure necessarie risultano dall'appendice 2.</w:t>
      </w:r>
    </w:p>
    <w:p w:rsidR="00EF6571" w:rsidRPr="00EF6571" w:rsidRDefault="00EF6571" w:rsidP="00EF6571">
      <w:pPr>
        <w:rPr>
          <w:lang w:val="it-CH"/>
        </w:rPr>
      </w:pPr>
      <w:r w:rsidRPr="00EF6571">
        <w:rPr>
          <w:rStyle w:val="Hochgestellt"/>
          <w:lang w:val="it-CH"/>
        </w:rPr>
        <w:t>2</w:t>
      </w:r>
      <w:r>
        <w:rPr>
          <w:lang w:val="it-CH"/>
        </w:rPr>
        <w:t xml:space="preserve"> </w:t>
      </w:r>
      <w:r w:rsidRPr="00EF6571">
        <w:rPr>
          <w:lang w:val="it-CH"/>
        </w:rPr>
        <w:t>Impianti non più utilizzati (condotte di scarico, vasche dei liquami, ecc.) vanno rimossi a regola d'arte o posti fuori esercizio (pulire, riempire con inerti o chiudere permanentemente). La rimozione o la messa fuori esercizio va comunicata al municipio.</w:t>
      </w:r>
    </w:p>
    <w:p w:rsidR="00EF6571" w:rsidRDefault="00EF6571" w:rsidP="00EF6571">
      <w:pPr>
        <w:rPr>
          <w:lang w:val="it-CH"/>
        </w:rPr>
      </w:pPr>
      <w:r w:rsidRPr="00EF6571">
        <w:rPr>
          <w:rStyle w:val="Hochgestellt"/>
          <w:lang w:val="it-CH"/>
        </w:rPr>
        <w:t>3</w:t>
      </w:r>
      <w:r>
        <w:rPr>
          <w:lang w:val="it-CH"/>
        </w:rPr>
        <w:t xml:space="preserve"> </w:t>
      </w:r>
      <w:r w:rsidRPr="00EF6571">
        <w:rPr>
          <w:lang w:val="it-CH"/>
        </w:rPr>
        <w:t>L'attuazione delle misure conformemente all'appendice 2 va comunicata al comune. Il municipio tiene un elenco delle misure conformemente all'appendice 2 ancora da attu</w:t>
      </w:r>
      <w:r>
        <w:rPr>
          <w:lang w:val="it-CH"/>
        </w:rPr>
        <w:t>are e lo aggiorna annualmente.</w:t>
      </w:r>
    </w:p>
    <w:p w:rsidR="00EF6571" w:rsidRPr="00EF6571" w:rsidRDefault="00EF6571" w:rsidP="00EF6571">
      <w:pPr>
        <w:pStyle w:val="Artikel"/>
        <w:rPr>
          <w:lang w:val="it-CH"/>
        </w:rPr>
      </w:pPr>
      <w:r w:rsidRPr="00EF6571">
        <w:rPr>
          <w:lang w:val="it-CH"/>
        </w:rPr>
        <w:t>Art. 29</w:t>
      </w:r>
      <w:r w:rsidRPr="00EF6571">
        <w:rPr>
          <w:lang w:val="it-CH"/>
        </w:rPr>
        <w:tab/>
        <w:t>Utilizzazioni agricole, forestali e orticole esistenti</w:t>
      </w:r>
    </w:p>
    <w:p w:rsidR="00EF6571" w:rsidRPr="00EF6571" w:rsidRDefault="00EF6571" w:rsidP="00EF6571">
      <w:pPr>
        <w:rPr>
          <w:lang w:val="it-CH"/>
        </w:rPr>
      </w:pPr>
      <w:r w:rsidRPr="00C10CBF">
        <w:rPr>
          <w:rStyle w:val="Hochgestellt"/>
          <w:lang w:val="it-CH"/>
        </w:rPr>
        <w:t>1</w:t>
      </w:r>
      <w:r>
        <w:rPr>
          <w:lang w:val="it-CH"/>
        </w:rPr>
        <w:t xml:space="preserve"> </w:t>
      </w:r>
      <w:r w:rsidRPr="00EF6571">
        <w:rPr>
          <w:lang w:val="it-CH"/>
        </w:rPr>
        <w:t xml:space="preserve">Utilizzazioni agricole, forestali e orticole che non corrispondono alle disposizioni del presente regolamento vanno adeguate entro i termini indicati nell'appendice 2 o eventualmente vanno abbandonate. </w:t>
      </w:r>
    </w:p>
    <w:p w:rsidR="00EF6571" w:rsidRDefault="00EF6571" w:rsidP="00EF6571">
      <w:pPr>
        <w:rPr>
          <w:lang w:val="it-CH"/>
        </w:rPr>
      </w:pPr>
      <w:r w:rsidRPr="00EF6571">
        <w:rPr>
          <w:rStyle w:val="Hochgestellt"/>
          <w:lang w:val="it-CH"/>
        </w:rPr>
        <w:t>2</w:t>
      </w:r>
      <w:r>
        <w:rPr>
          <w:lang w:val="it-CH"/>
        </w:rPr>
        <w:t xml:space="preserve"> </w:t>
      </w:r>
      <w:r w:rsidRPr="00EF6571">
        <w:rPr>
          <w:lang w:val="it-CH"/>
        </w:rPr>
        <w:t>L'attuazione delle misure conformemente all'appendice 2 va comunicata al comune. Il municipio tiene un elenco delle misure conformemente all'appendice 2 ancora da attu</w:t>
      </w:r>
      <w:r>
        <w:rPr>
          <w:lang w:val="it-CH"/>
        </w:rPr>
        <w:t>are e lo aggiorna annualmente.</w:t>
      </w:r>
    </w:p>
    <w:p w:rsidR="00EF6571" w:rsidRPr="00EF6571" w:rsidRDefault="00EF6571" w:rsidP="00EF6571">
      <w:pPr>
        <w:pStyle w:val="Artikel"/>
        <w:rPr>
          <w:lang w:val="it-CH"/>
        </w:rPr>
      </w:pPr>
      <w:r w:rsidRPr="00EF6571">
        <w:rPr>
          <w:lang w:val="it-CH"/>
        </w:rPr>
        <w:lastRenderedPageBreak/>
        <w:t xml:space="preserve">Art. 30 </w:t>
      </w:r>
      <w:r w:rsidRPr="00EF6571">
        <w:rPr>
          <w:lang w:val="it-CH"/>
        </w:rPr>
        <w:tab/>
        <w:t>Menzioni a registro fondiario</w:t>
      </w:r>
    </w:p>
    <w:p w:rsidR="00EF6571" w:rsidRPr="00EF6571" w:rsidRDefault="00EF6571" w:rsidP="00EF6571">
      <w:pPr>
        <w:rPr>
          <w:lang w:val="it-CH"/>
        </w:rPr>
      </w:pPr>
      <w:r w:rsidRPr="00EF6571">
        <w:rPr>
          <w:rStyle w:val="Hochgestellt"/>
          <w:lang w:val="it-CH"/>
        </w:rPr>
        <w:t>1</w:t>
      </w:r>
      <w:r>
        <w:rPr>
          <w:lang w:val="it-CH"/>
        </w:rPr>
        <w:t xml:space="preserve"> </w:t>
      </w:r>
      <w:r w:rsidRPr="00EF6571">
        <w:rPr>
          <w:lang w:val="it-CH"/>
        </w:rPr>
        <w:t>Le restrizioni del diritto di proprietà secondo il presente regolamento vanno menzionate a registro fondiario</w:t>
      </w:r>
      <w:r>
        <w:rPr>
          <w:rStyle w:val="Endnotenzeichen"/>
          <w:lang w:val="it-CH"/>
        </w:rPr>
        <w:endnoteReference w:id="52"/>
      </w:r>
      <w:r>
        <w:rPr>
          <w:lang w:val="it-CH"/>
        </w:rPr>
        <w:t>.</w:t>
      </w:r>
      <w:r w:rsidRPr="00EF6571">
        <w:rPr>
          <w:lang w:val="it-CH"/>
        </w:rPr>
        <w:t xml:space="preserve"> L'Ufficio del registro fondiario </w:t>
      </w:r>
      <w:r w:rsidRPr="00EF6571">
        <w:rPr>
          <w:i/>
          <w:lang w:val="it-CH"/>
        </w:rPr>
        <w:t>[nome]</w:t>
      </w:r>
      <w:r w:rsidRPr="00EF6571">
        <w:rPr>
          <w:lang w:val="it-CH"/>
        </w:rPr>
        <w:t xml:space="preserve"> viene incaricato e autorizzato a menzionare queste restrizioni del diritto di proprietà sui corrispondenti fogli del mastro, alla </w:t>
      </w:r>
      <w:r w:rsidR="00C10CBF">
        <w:rPr>
          <w:lang w:val="it-CH"/>
        </w:rPr>
        <w:t>voce "zona pubblica di pro</w:t>
      </w:r>
      <w:r w:rsidRPr="00EF6571">
        <w:rPr>
          <w:lang w:val="it-CH"/>
        </w:rPr>
        <w:t xml:space="preserve">tezione delle acque sotterranee </w:t>
      </w:r>
      <w:r w:rsidRPr="00EF6571">
        <w:rPr>
          <w:i/>
          <w:lang w:val="it-CH"/>
        </w:rPr>
        <w:t>della(e) captazione(i) di sorgente (i)/acque sotterranee [nome della(e) captazione(i)]</w:t>
      </w:r>
      <w:r w:rsidRPr="00EF6571">
        <w:rPr>
          <w:lang w:val="it-CH"/>
        </w:rPr>
        <w:t>".</w:t>
      </w:r>
    </w:p>
    <w:p w:rsidR="00EF6571" w:rsidRPr="00EF6571" w:rsidRDefault="00EF6571" w:rsidP="00EF6571">
      <w:pPr>
        <w:rPr>
          <w:i/>
          <w:lang w:val="it-CH"/>
        </w:rPr>
      </w:pPr>
      <w:r w:rsidRPr="00EF6571">
        <w:rPr>
          <w:rStyle w:val="Hochgestellt"/>
          <w:lang w:val="it-CH"/>
        </w:rPr>
        <w:t>2</w:t>
      </w:r>
      <w:r>
        <w:rPr>
          <w:lang w:val="it-CH"/>
        </w:rPr>
        <w:t xml:space="preserve"> </w:t>
      </w:r>
      <w:r w:rsidRPr="00EF6571">
        <w:rPr>
          <w:lang w:val="it-CH"/>
        </w:rPr>
        <w:t xml:space="preserve">Ne sono integralmente o parzialmente interessate le particelle seguenti: </w:t>
      </w:r>
      <w:r w:rsidRPr="00EF6571">
        <w:rPr>
          <w:i/>
          <w:lang w:val="it-CH"/>
        </w:rPr>
        <w:t>[indicare i numeri delle particelle]</w:t>
      </w:r>
    </w:p>
    <w:p w:rsidR="00EF6571" w:rsidRDefault="00EF6571" w:rsidP="00EF6571">
      <w:pPr>
        <w:rPr>
          <w:lang w:val="it-CH"/>
        </w:rPr>
      </w:pPr>
      <w:r w:rsidRPr="00EF6571">
        <w:rPr>
          <w:rStyle w:val="Hochgestellt"/>
          <w:lang w:val="it-CH"/>
        </w:rPr>
        <w:t>3</w:t>
      </w:r>
      <w:r>
        <w:rPr>
          <w:lang w:val="it-CH"/>
        </w:rPr>
        <w:t xml:space="preserve"> </w:t>
      </w:r>
      <w:r w:rsidRPr="00EF6571">
        <w:rPr>
          <w:lang w:val="it-CH"/>
        </w:rPr>
        <w:t xml:space="preserve">All'Ufficio del registro fondiario </w:t>
      </w:r>
      <w:r w:rsidRPr="00EF6571">
        <w:rPr>
          <w:i/>
          <w:lang w:val="it-CH"/>
        </w:rPr>
        <w:t>[nome]</w:t>
      </w:r>
      <w:r w:rsidRPr="00EF6571">
        <w:rPr>
          <w:lang w:val="it-CH"/>
        </w:rPr>
        <w:t xml:space="preserve"> viene consegnato un piano delle zone di prote</w:t>
      </w:r>
      <w:r>
        <w:rPr>
          <w:lang w:val="it-CH"/>
        </w:rPr>
        <w:t>zione appro</w:t>
      </w:r>
      <w:r w:rsidRPr="00EF6571">
        <w:rPr>
          <w:lang w:val="it-CH"/>
        </w:rPr>
        <w:t>vato dal Governo insieme al relativo regolamento delle zone di protezione.</w:t>
      </w:r>
    </w:p>
    <w:p w:rsidR="00EF6571" w:rsidRPr="00EF6571" w:rsidRDefault="00EF6571" w:rsidP="00EF6571">
      <w:pPr>
        <w:pStyle w:val="Artikel"/>
        <w:rPr>
          <w:lang w:val="it-CH"/>
        </w:rPr>
      </w:pPr>
      <w:r w:rsidRPr="00EF6571">
        <w:rPr>
          <w:lang w:val="it-CH"/>
        </w:rPr>
        <w:t>Art. 31</w:t>
      </w:r>
      <w:r w:rsidRPr="00EF6571">
        <w:rPr>
          <w:lang w:val="it-CH"/>
        </w:rPr>
        <w:tab/>
        <w:t>Indennizzo per restrizioni del diritto di proprietà</w:t>
      </w:r>
    </w:p>
    <w:p w:rsidR="00EF6571" w:rsidRPr="00EF6571" w:rsidRDefault="00EF6571" w:rsidP="00EF6571">
      <w:pPr>
        <w:rPr>
          <w:lang w:val="it-CH"/>
        </w:rPr>
      </w:pPr>
      <w:r w:rsidRPr="00EF6571">
        <w:rPr>
          <w:rStyle w:val="Hochgestellt"/>
          <w:lang w:val="it-CH"/>
        </w:rPr>
        <w:t>1</w:t>
      </w:r>
      <w:r>
        <w:rPr>
          <w:lang w:val="it-CH"/>
        </w:rPr>
        <w:t xml:space="preserve"> </w:t>
      </w:r>
      <w:r w:rsidRPr="00EF6571">
        <w:rPr>
          <w:lang w:val="it-CH"/>
        </w:rPr>
        <w:t>Il proprietario della captazione d'acqua deve sopperire agli eventuali indennizzi per le limitazioni del diritto di proprietà</w:t>
      </w:r>
      <w:r>
        <w:rPr>
          <w:rStyle w:val="Endnotenzeichen"/>
          <w:lang w:val="it-CH"/>
        </w:rPr>
        <w:endnoteReference w:id="53"/>
      </w:r>
      <w:r>
        <w:rPr>
          <w:lang w:val="it-CH"/>
        </w:rPr>
        <w:t>.</w:t>
      </w:r>
    </w:p>
    <w:p w:rsidR="00EF6571" w:rsidRDefault="00EF6571" w:rsidP="00EF6571">
      <w:pPr>
        <w:rPr>
          <w:lang w:val="it-CH"/>
        </w:rPr>
      </w:pPr>
      <w:r w:rsidRPr="00EF6571">
        <w:rPr>
          <w:rStyle w:val="Hochgestellt"/>
          <w:lang w:val="it-CH"/>
        </w:rPr>
        <w:t>2</w:t>
      </w:r>
      <w:r>
        <w:rPr>
          <w:lang w:val="it-CH"/>
        </w:rPr>
        <w:t xml:space="preserve"> </w:t>
      </w:r>
      <w:r w:rsidRPr="00EF6571">
        <w:rPr>
          <w:lang w:val="it-CH"/>
        </w:rPr>
        <w:t>Eventuali pretese d'indennizzo sono giudicate secondo le prescrizioni del diritto di rango superiore</w:t>
      </w:r>
      <w:r>
        <w:rPr>
          <w:rStyle w:val="Endnotenzeichen"/>
          <w:lang w:val="it-CH"/>
        </w:rPr>
        <w:endnoteReference w:id="54"/>
      </w:r>
      <w:r w:rsidRPr="00EF6571">
        <w:rPr>
          <w:lang w:val="it-CH"/>
        </w:rPr>
        <w:t>.</w:t>
      </w:r>
    </w:p>
    <w:p w:rsidR="00EF6571" w:rsidRPr="00EF6571" w:rsidRDefault="00EF6571" w:rsidP="00EF6571">
      <w:pPr>
        <w:pStyle w:val="Artikel"/>
        <w:rPr>
          <w:lang w:val="it-CH"/>
        </w:rPr>
      </w:pPr>
      <w:r w:rsidRPr="00EF6571">
        <w:rPr>
          <w:lang w:val="it-CH"/>
        </w:rPr>
        <w:t>Art. 32</w:t>
      </w:r>
      <w:r w:rsidRPr="00EF6571">
        <w:rPr>
          <w:lang w:val="it-CH"/>
        </w:rPr>
        <w:tab/>
        <w:t xml:space="preserve">Verifica della zona di protezione delle acque sotterranee </w:t>
      </w:r>
    </w:p>
    <w:p w:rsidR="00EF6571" w:rsidRPr="00EF6571" w:rsidRDefault="00EF6571" w:rsidP="00EF6571">
      <w:pPr>
        <w:rPr>
          <w:lang w:val="it-CH"/>
        </w:rPr>
      </w:pPr>
      <w:r w:rsidRPr="00EF6571">
        <w:rPr>
          <w:rStyle w:val="Hochgestellt"/>
          <w:lang w:val="it-CH"/>
        </w:rPr>
        <w:t>1</w:t>
      </w:r>
      <w:r>
        <w:rPr>
          <w:lang w:val="it-CH"/>
        </w:rPr>
        <w:t xml:space="preserve"> </w:t>
      </w:r>
      <w:r w:rsidRPr="00EF6571">
        <w:rPr>
          <w:lang w:val="it-CH"/>
        </w:rPr>
        <w:t>In caso di nuove importanti cognizioni o in caso di nuove importanti prescrizioni di legge, il titolare della captazione, spontaneamente o su richiesta del municipio o dell'ufficio preposto alla protezione delle acque, fa verificare i piani delle zone di protezione e il regolamento e se</w:t>
      </w:r>
      <w:r w:rsidR="003B2A2B">
        <w:rPr>
          <w:lang w:val="it-CH"/>
        </w:rPr>
        <w:t xml:space="preserve"> necessario li fa rielaborare.</w:t>
      </w:r>
    </w:p>
    <w:p w:rsidR="00EF6571" w:rsidRDefault="00EF6571" w:rsidP="00EF6571">
      <w:pPr>
        <w:rPr>
          <w:lang w:val="it-CH"/>
        </w:rPr>
      </w:pPr>
      <w:r w:rsidRPr="00EF6571">
        <w:rPr>
          <w:rStyle w:val="Hochgestellt"/>
          <w:lang w:val="it-CH"/>
        </w:rPr>
        <w:t>2</w:t>
      </w:r>
      <w:r>
        <w:rPr>
          <w:lang w:val="it-CH"/>
        </w:rPr>
        <w:t xml:space="preserve"> </w:t>
      </w:r>
      <w:r w:rsidRPr="00EF6571">
        <w:rPr>
          <w:lang w:val="it-CH"/>
        </w:rPr>
        <w:t>In caso di qualità insufficiente dell'acqua potabile, il titolare dell'approvvigionamento di ac</w:t>
      </w:r>
      <w:r w:rsidR="003B2A2B">
        <w:rPr>
          <w:lang w:val="it-CH"/>
        </w:rPr>
        <w:t>qua pota</w:t>
      </w:r>
      <w:r w:rsidRPr="00EF6571">
        <w:rPr>
          <w:lang w:val="it-CH"/>
        </w:rPr>
        <w:t>bile ne chiarisce le cause. Su questa base, il municipio dispone le misure necessarie. Se ne risulta che con ciò non viene raggiunto un miglioramento sostanziale, i piani delle zone di protezione e i</w:t>
      </w:r>
      <w:r w:rsidR="003B2A2B">
        <w:rPr>
          <w:lang w:val="it-CH"/>
        </w:rPr>
        <w:t>l rego</w:t>
      </w:r>
      <w:r w:rsidRPr="00EF6571">
        <w:rPr>
          <w:lang w:val="it-CH"/>
        </w:rPr>
        <w:t>lamento vengono verificati e se necessario rielaborati.</w:t>
      </w:r>
    </w:p>
    <w:p w:rsidR="003B2A2B" w:rsidRPr="003B2A2B" w:rsidRDefault="003B2A2B" w:rsidP="003B2A2B">
      <w:pPr>
        <w:pStyle w:val="Artikel"/>
        <w:rPr>
          <w:lang w:val="it-CH"/>
        </w:rPr>
      </w:pPr>
      <w:r w:rsidRPr="003B2A2B">
        <w:rPr>
          <w:lang w:val="it-CH"/>
        </w:rPr>
        <w:t>Art. 33</w:t>
      </w:r>
      <w:r w:rsidRPr="003B2A2B">
        <w:rPr>
          <w:lang w:val="it-CH"/>
        </w:rPr>
        <w:tab/>
        <w:t>Abrogazione del diritto previgente</w:t>
      </w:r>
    </w:p>
    <w:p w:rsidR="003B2A2B" w:rsidRPr="003B2A2B" w:rsidRDefault="003B2A2B" w:rsidP="003B2A2B">
      <w:pPr>
        <w:rPr>
          <w:lang w:val="it-CH"/>
        </w:rPr>
      </w:pPr>
      <w:r w:rsidRPr="003B2A2B">
        <w:rPr>
          <w:lang w:val="it-CH"/>
        </w:rPr>
        <w:t xml:space="preserve">Il regolamento e </w:t>
      </w:r>
      <w:r w:rsidRPr="003B2A2B">
        <w:rPr>
          <w:i/>
          <w:lang w:val="it-CH"/>
        </w:rPr>
        <w:t>il piano/i piani delle zone di protezione</w:t>
      </w:r>
      <w:r w:rsidRPr="003B2A2B">
        <w:rPr>
          <w:lang w:val="it-CH"/>
        </w:rPr>
        <w:t xml:space="preserve">, emanati dal municipio il </w:t>
      </w:r>
      <w:r w:rsidRPr="003B2A2B">
        <w:rPr>
          <w:i/>
          <w:lang w:val="it-CH"/>
        </w:rPr>
        <w:t>[data]</w:t>
      </w:r>
      <w:r w:rsidRPr="003B2A2B">
        <w:rPr>
          <w:lang w:val="it-CH"/>
        </w:rPr>
        <w:t xml:space="preserve"> e approvati dal Governo il </w:t>
      </w:r>
      <w:r w:rsidRPr="003B2A2B">
        <w:rPr>
          <w:i/>
          <w:lang w:val="it-CH"/>
        </w:rPr>
        <w:t>[data]</w:t>
      </w:r>
      <w:r w:rsidRPr="003B2A2B">
        <w:rPr>
          <w:lang w:val="it-CH"/>
        </w:rPr>
        <w:t>, sono abrogati.</w:t>
      </w:r>
    </w:p>
    <w:p w:rsidR="003B2A2B" w:rsidRPr="003B2A2B" w:rsidRDefault="003B2A2B" w:rsidP="003B2A2B">
      <w:pPr>
        <w:pStyle w:val="Artikel"/>
        <w:rPr>
          <w:lang w:val="it-CH"/>
        </w:rPr>
      </w:pPr>
      <w:r w:rsidRPr="003B2A2B">
        <w:rPr>
          <w:lang w:val="it-CH"/>
        </w:rPr>
        <w:t>Art. 34</w:t>
      </w:r>
      <w:r w:rsidRPr="003B2A2B">
        <w:rPr>
          <w:lang w:val="it-CH"/>
        </w:rPr>
        <w:tab/>
        <w:t>Entrata in vigore</w:t>
      </w:r>
    </w:p>
    <w:p w:rsidR="003B2A2B" w:rsidRPr="00EF6571" w:rsidRDefault="003B2A2B" w:rsidP="003B2A2B">
      <w:pPr>
        <w:rPr>
          <w:lang w:val="it-CH"/>
        </w:rPr>
      </w:pPr>
      <w:r w:rsidRPr="003B2A2B">
        <w:rPr>
          <w:lang w:val="it-CH"/>
        </w:rPr>
        <w:t xml:space="preserve">Il presente regolamento e </w:t>
      </w:r>
      <w:r w:rsidRPr="003B2A2B">
        <w:rPr>
          <w:i/>
          <w:lang w:val="it-CH"/>
        </w:rPr>
        <w:t>il relativo piano/i relativi piani delle zone di protezione</w:t>
      </w:r>
      <w:r w:rsidRPr="003B2A2B">
        <w:rPr>
          <w:lang w:val="it-CH"/>
        </w:rPr>
        <w:t xml:space="preserve"> entrano in vigore con l'approvazione da parte del Governo del Cantone dei Grigioni.</w:t>
      </w:r>
    </w:p>
    <w:p w:rsidR="002B2957" w:rsidRPr="002B2957" w:rsidRDefault="002B2957" w:rsidP="00316922">
      <w:pPr>
        <w:pStyle w:val="Artikel"/>
        <w:rPr>
          <w:rFonts w:eastAsiaTheme="majorEastAsia" w:cstheme="majorBidi"/>
          <w:bCs/>
          <w:szCs w:val="28"/>
          <w:lang w:val="it-CH"/>
        </w:rPr>
      </w:pPr>
      <w:r w:rsidRPr="002B2957">
        <w:rPr>
          <w:lang w:val="it-CH"/>
        </w:rPr>
        <w:br w:type="page"/>
      </w:r>
    </w:p>
    <w:p w:rsidR="00602E9D" w:rsidRPr="0091072F" w:rsidRDefault="003B2A2B" w:rsidP="003B2A2B">
      <w:pPr>
        <w:pStyle w:val="berschrift1"/>
      </w:pPr>
      <w:r w:rsidRPr="003B2A2B">
        <w:lastRenderedPageBreak/>
        <w:t>Emanazione e approvazione</w:t>
      </w:r>
    </w:p>
    <w:p w:rsidR="00602E9D" w:rsidRPr="002B2957" w:rsidRDefault="00602E9D" w:rsidP="00602E9D">
      <w:pPr>
        <w:rPr>
          <w:lang w:val="it-CH"/>
        </w:rPr>
      </w:pPr>
    </w:p>
    <w:p w:rsidR="00602E9D" w:rsidRPr="0091072F" w:rsidRDefault="003B2A2B" w:rsidP="00602E9D">
      <w:pPr>
        <w:tabs>
          <w:tab w:val="left" w:pos="2977"/>
          <w:tab w:val="right" w:leader="underscore" w:pos="6096"/>
        </w:tabs>
      </w:pPr>
      <w:r>
        <w:t>Esposizione pubblica dal</w:t>
      </w:r>
      <w:r w:rsidR="00602E9D" w:rsidRPr="00814252">
        <w:t>:</w:t>
      </w:r>
      <w:r w:rsidR="00602E9D" w:rsidRPr="00814252">
        <w:tab/>
      </w:r>
      <w:r w:rsidR="00602E9D">
        <w:tab/>
      </w:r>
    </w:p>
    <w:p w:rsidR="00602E9D" w:rsidRPr="0091072F" w:rsidRDefault="00602E9D" w:rsidP="003B2A2B">
      <w:pPr>
        <w:tabs>
          <w:tab w:val="right" w:pos="2495"/>
          <w:tab w:val="left" w:pos="2977"/>
          <w:tab w:val="right" w:leader="underscore" w:pos="6096"/>
        </w:tabs>
      </w:pPr>
      <w:r w:rsidRPr="00814252">
        <w:tab/>
      </w:r>
      <w:r w:rsidR="003B2A2B">
        <w:t>al</w:t>
      </w:r>
      <w:r w:rsidRPr="00814252">
        <w:t>:</w:t>
      </w:r>
      <w:r w:rsidRPr="00814252">
        <w:tab/>
      </w:r>
      <w:r>
        <w:tab/>
      </w:r>
    </w:p>
    <w:p w:rsidR="00602E9D" w:rsidRPr="00814252" w:rsidRDefault="00602E9D" w:rsidP="00602E9D"/>
    <w:p w:rsidR="00602E9D" w:rsidRPr="003B2A2B" w:rsidRDefault="003B2A2B" w:rsidP="003B2A2B">
      <w:pPr>
        <w:tabs>
          <w:tab w:val="left" w:pos="5387"/>
          <w:tab w:val="right" w:leader="underscore" w:pos="8505"/>
        </w:tabs>
        <w:rPr>
          <w:lang w:val="it-CH"/>
        </w:rPr>
      </w:pPr>
      <w:r w:rsidRPr="003B2A2B">
        <w:rPr>
          <w:lang w:val="it-CH"/>
        </w:rPr>
        <w:t xml:space="preserve">Emanato dal municipio del Comune di </w:t>
      </w:r>
      <w:r w:rsidR="00602E9D" w:rsidRPr="003B2A2B">
        <w:rPr>
          <w:rStyle w:val="FormatvorlageKursiv"/>
          <w:lang w:val="it-CH"/>
        </w:rPr>
        <w:t>[</w:t>
      </w:r>
      <w:r w:rsidRPr="003B2A2B">
        <w:rPr>
          <w:rStyle w:val="FormatvorlageKursiv"/>
          <w:lang w:val="it-CH"/>
        </w:rPr>
        <w:t>nome</w:t>
      </w:r>
      <w:r w:rsidR="00602E9D" w:rsidRPr="003B2A2B">
        <w:rPr>
          <w:rStyle w:val="FormatvorlageKursiv"/>
          <w:lang w:val="it-CH"/>
        </w:rPr>
        <w:t>]</w:t>
      </w:r>
      <w:r w:rsidRPr="003B2A2B">
        <w:rPr>
          <w:rStyle w:val="FormatvorlageKursiv"/>
          <w:lang w:val="it-CH"/>
        </w:rPr>
        <w:t xml:space="preserve"> </w:t>
      </w:r>
      <w:r w:rsidRPr="003B2A2B">
        <w:rPr>
          <w:rStyle w:val="FormatvorlageKursiv"/>
          <w:i w:val="0"/>
          <w:lang w:val="it-CH"/>
        </w:rPr>
        <w:t>il:</w:t>
      </w:r>
      <w:r>
        <w:rPr>
          <w:rStyle w:val="FormatvorlageKursiv"/>
          <w:i w:val="0"/>
          <w:lang w:val="it-CH"/>
        </w:rPr>
        <w:tab/>
      </w:r>
      <w:r>
        <w:rPr>
          <w:rStyle w:val="FormatvorlageKursiv"/>
          <w:i w:val="0"/>
          <w:lang w:val="it-CH"/>
        </w:rPr>
        <w:tab/>
      </w:r>
    </w:p>
    <w:p w:rsidR="00602E9D" w:rsidRPr="00C10CBF" w:rsidRDefault="00602E9D" w:rsidP="00602E9D">
      <w:pPr>
        <w:rPr>
          <w:lang w:val="it-CH"/>
        </w:rPr>
      </w:pPr>
    </w:p>
    <w:p w:rsidR="00602E9D" w:rsidRPr="003B2A2B" w:rsidRDefault="003B2A2B" w:rsidP="00602E9D">
      <w:pPr>
        <w:tabs>
          <w:tab w:val="left" w:pos="2977"/>
          <w:tab w:val="right" w:leader="underscore" w:pos="6096"/>
        </w:tabs>
        <w:rPr>
          <w:lang w:val="it-CH"/>
        </w:rPr>
      </w:pPr>
      <w:r w:rsidRPr="003B2A2B">
        <w:rPr>
          <w:lang w:val="it-CH"/>
        </w:rPr>
        <w:t>Il Sindaco</w:t>
      </w:r>
      <w:r w:rsidR="00602E9D" w:rsidRPr="003B2A2B">
        <w:rPr>
          <w:lang w:val="it-CH"/>
        </w:rPr>
        <w:t>:</w:t>
      </w:r>
      <w:r w:rsidR="00602E9D" w:rsidRPr="003B2A2B">
        <w:rPr>
          <w:lang w:val="it-CH"/>
        </w:rPr>
        <w:tab/>
      </w:r>
      <w:r w:rsidR="004E147E">
        <w:rPr>
          <w:lang w:val="it-CH"/>
        </w:rPr>
        <w:tab/>
      </w:r>
    </w:p>
    <w:p w:rsidR="00602E9D" w:rsidRPr="003B2A2B" w:rsidRDefault="00602E9D" w:rsidP="00602E9D">
      <w:pPr>
        <w:rPr>
          <w:lang w:val="it-CH"/>
        </w:rPr>
      </w:pPr>
    </w:p>
    <w:p w:rsidR="00602E9D" w:rsidRPr="003B2A2B" w:rsidRDefault="003B2A2B" w:rsidP="00602E9D">
      <w:pPr>
        <w:tabs>
          <w:tab w:val="left" w:pos="2977"/>
          <w:tab w:val="right" w:leader="underscore" w:pos="6096"/>
        </w:tabs>
        <w:rPr>
          <w:lang w:val="it-CH"/>
        </w:rPr>
      </w:pPr>
      <w:r w:rsidRPr="003B2A2B">
        <w:rPr>
          <w:lang w:val="it-CH"/>
        </w:rPr>
        <w:t>Il Segretario comunale</w:t>
      </w:r>
      <w:r w:rsidR="00602E9D" w:rsidRPr="003B2A2B">
        <w:rPr>
          <w:lang w:val="it-CH"/>
        </w:rPr>
        <w:t>:</w:t>
      </w:r>
      <w:r w:rsidR="00602E9D" w:rsidRPr="003B2A2B">
        <w:rPr>
          <w:lang w:val="it-CH"/>
        </w:rPr>
        <w:tab/>
      </w:r>
      <w:r w:rsidR="00602E9D" w:rsidRPr="003B2A2B">
        <w:rPr>
          <w:lang w:val="it-CH"/>
        </w:rPr>
        <w:tab/>
      </w:r>
    </w:p>
    <w:p w:rsidR="00602E9D" w:rsidRDefault="00602E9D" w:rsidP="00602E9D">
      <w:pPr>
        <w:rPr>
          <w:lang w:val="it-CH"/>
        </w:rPr>
      </w:pPr>
    </w:p>
    <w:p w:rsidR="004E147E" w:rsidRDefault="004E147E" w:rsidP="00602E9D">
      <w:pPr>
        <w:rPr>
          <w:lang w:val="it-CH"/>
        </w:rPr>
      </w:pPr>
    </w:p>
    <w:p w:rsidR="004E147E" w:rsidRPr="004E147E" w:rsidRDefault="004E147E" w:rsidP="004E147E">
      <w:pPr>
        <w:tabs>
          <w:tab w:val="left" w:pos="2977"/>
          <w:tab w:val="right" w:leader="underscore" w:pos="6096"/>
        </w:tabs>
        <w:rPr>
          <w:i/>
          <w:lang w:val="fr-CH"/>
        </w:rPr>
      </w:pPr>
      <w:r w:rsidRPr="004E147E">
        <w:rPr>
          <w:i/>
          <w:lang w:val="fr-CH"/>
        </w:rPr>
        <w:t>Esposizione pubblica dal:</w:t>
      </w:r>
      <w:r w:rsidRPr="004E147E">
        <w:rPr>
          <w:i/>
          <w:lang w:val="fr-CH"/>
        </w:rPr>
        <w:tab/>
      </w:r>
      <w:r w:rsidRPr="004E147E">
        <w:rPr>
          <w:i/>
          <w:lang w:val="fr-CH"/>
        </w:rPr>
        <w:tab/>
      </w:r>
    </w:p>
    <w:p w:rsidR="004E147E" w:rsidRPr="004E147E" w:rsidRDefault="004E147E" w:rsidP="004E147E">
      <w:pPr>
        <w:tabs>
          <w:tab w:val="right" w:pos="2495"/>
          <w:tab w:val="left" w:pos="2977"/>
          <w:tab w:val="right" w:leader="underscore" w:pos="6096"/>
        </w:tabs>
        <w:rPr>
          <w:i/>
          <w:lang w:val="fr-CH"/>
        </w:rPr>
      </w:pPr>
      <w:r w:rsidRPr="004E147E">
        <w:rPr>
          <w:i/>
          <w:lang w:val="fr-CH"/>
        </w:rPr>
        <w:tab/>
        <w:t>al:</w:t>
      </w:r>
      <w:r w:rsidRPr="004E147E">
        <w:rPr>
          <w:i/>
          <w:lang w:val="fr-CH"/>
        </w:rPr>
        <w:tab/>
      </w:r>
      <w:r w:rsidRPr="004E147E">
        <w:rPr>
          <w:i/>
          <w:lang w:val="fr-CH"/>
        </w:rPr>
        <w:tab/>
      </w:r>
    </w:p>
    <w:p w:rsidR="004E147E" w:rsidRPr="004E147E" w:rsidRDefault="004E147E" w:rsidP="004E147E">
      <w:pPr>
        <w:rPr>
          <w:i/>
          <w:lang w:val="fr-CH"/>
        </w:rPr>
      </w:pPr>
    </w:p>
    <w:p w:rsidR="004E147E" w:rsidRPr="004E147E" w:rsidRDefault="004E147E" w:rsidP="004E147E">
      <w:pPr>
        <w:tabs>
          <w:tab w:val="left" w:pos="5387"/>
          <w:tab w:val="right" w:leader="underscore" w:pos="8505"/>
        </w:tabs>
        <w:rPr>
          <w:i/>
          <w:lang w:val="it-CH"/>
        </w:rPr>
      </w:pPr>
      <w:r w:rsidRPr="004E147E">
        <w:rPr>
          <w:i/>
          <w:lang w:val="it-CH"/>
        </w:rPr>
        <w:t xml:space="preserve">Emanato dal municipio del Comune di </w:t>
      </w:r>
      <w:r w:rsidRPr="004E147E">
        <w:rPr>
          <w:rStyle w:val="FormatvorlageKursiv"/>
          <w:i w:val="0"/>
          <w:lang w:val="it-CH"/>
        </w:rPr>
        <w:t>[nome] il:</w:t>
      </w:r>
      <w:r w:rsidRPr="004E147E">
        <w:rPr>
          <w:rStyle w:val="FormatvorlageKursiv"/>
          <w:i w:val="0"/>
          <w:lang w:val="it-CH"/>
        </w:rPr>
        <w:tab/>
      </w:r>
      <w:r w:rsidRPr="004E147E">
        <w:rPr>
          <w:rStyle w:val="FormatvorlageKursiv"/>
          <w:i w:val="0"/>
          <w:lang w:val="it-CH"/>
        </w:rPr>
        <w:tab/>
      </w:r>
    </w:p>
    <w:p w:rsidR="004E147E" w:rsidRPr="004E147E" w:rsidRDefault="004E147E" w:rsidP="004E147E">
      <w:pPr>
        <w:rPr>
          <w:i/>
          <w:lang w:val="it-CH"/>
        </w:rPr>
      </w:pPr>
    </w:p>
    <w:p w:rsidR="004E147E" w:rsidRPr="004E147E" w:rsidRDefault="004E147E" w:rsidP="004E147E">
      <w:pPr>
        <w:tabs>
          <w:tab w:val="left" w:pos="2977"/>
          <w:tab w:val="right" w:leader="underscore" w:pos="6096"/>
        </w:tabs>
        <w:rPr>
          <w:i/>
          <w:lang w:val="it-CH"/>
        </w:rPr>
      </w:pPr>
      <w:r w:rsidRPr="004E147E">
        <w:rPr>
          <w:i/>
          <w:lang w:val="it-CH"/>
        </w:rPr>
        <w:t>Il Sindaco:</w:t>
      </w:r>
      <w:r w:rsidRPr="004E147E">
        <w:rPr>
          <w:i/>
          <w:lang w:val="it-CH"/>
        </w:rPr>
        <w:tab/>
      </w:r>
      <w:r w:rsidRPr="004E147E">
        <w:rPr>
          <w:i/>
          <w:lang w:val="it-CH"/>
        </w:rPr>
        <w:tab/>
      </w:r>
    </w:p>
    <w:p w:rsidR="004E147E" w:rsidRPr="004E147E" w:rsidRDefault="004E147E" w:rsidP="004E147E">
      <w:pPr>
        <w:rPr>
          <w:i/>
          <w:lang w:val="it-CH"/>
        </w:rPr>
      </w:pPr>
    </w:p>
    <w:p w:rsidR="004E147E" w:rsidRPr="004E147E" w:rsidRDefault="004E147E" w:rsidP="004E147E">
      <w:pPr>
        <w:tabs>
          <w:tab w:val="left" w:pos="2977"/>
          <w:tab w:val="right" w:leader="underscore" w:pos="6096"/>
        </w:tabs>
        <w:rPr>
          <w:i/>
          <w:lang w:val="it-CH"/>
        </w:rPr>
      </w:pPr>
      <w:r w:rsidRPr="004E147E">
        <w:rPr>
          <w:i/>
          <w:lang w:val="it-CH"/>
        </w:rPr>
        <w:t>Il Segretario comunale:</w:t>
      </w:r>
      <w:r w:rsidRPr="004E147E">
        <w:rPr>
          <w:i/>
          <w:lang w:val="it-CH"/>
        </w:rPr>
        <w:tab/>
      </w:r>
      <w:r w:rsidRPr="004E147E">
        <w:rPr>
          <w:i/>
          <w:lang w:val="it-CH"/>
        </w:rPr>
        <w:tab/>
      </w:r>
    </w:p>
    <w:p w:rsidR="004E147E" w:rsidRPr="003B2A2B" w:rsidRDefault="004E147E" w:rsidP="00602E9D">
      <w:pPr>
        <w:rPr>
          <w:lang w:val="it-CH"/>
        </w:rPr>
      </w:pPr>
    </w:p>
    <w:p w:rsidR="00602E9D" w:rsidRPr="003B2A2B" w:rsidRDefault="00602E9D" w:rsidP="00602E9D">
      <w:pPr>
        <w:rPr>
          <w:lang w:val="it-CH"/>
        </w:rPr>
      </w:pPr>
    </w:p>
    <w:p w:rsidR="00602E9D" w:rsidRPr="003B2A2B" w:rsidRDefault="003B2A2B" w:rsidP="003B2A2B">
      <w:pPr>
        <w:tabs>
          <w:tab w:val="left" w:pos="5245"/>
          <w:tab w:val="right" w:leader="underscore" w:pos="8505"/>
        </w:tabs>
        <w:rPr>
          <w:lang w:val="it-CH"/>
        </w:rPr>
      </w:pPr>
      <w:r w:rsidRPr="003B2A2B">
        <w:rPr>
          <w:lang w:val="it-CH"/>
        </w:rPr>
        <w:t>Approvato dal Governo del Cantone die Grigioni il</w:t>
      </w:r>
      <w:r w:rsidR="00602E9D" w:rsidRPr="003B2A2B">
        <w:rPr>
          <w:lang w:val="it-CH"/>
        </w:rPr>
        <w:t>:</w:t>
      </w:r>
      <w:r w:rsidR="00602E9D" w:rsidRPr="003B2A2B">
        <w:rPr>
          <w:lang w:val="it-CH"/>
        </w:rPr>
        <w:tab/>
      </w:r>
      <w:r w:rsidR="00602E9D" w:rsidRPr="003B2A2B">
        <w:rPr>
          <w:lang w:val="it-CH"/>
        </w:rPr>
        <w:tab/>
      </w:r>
    </w:p>
    <w:p w:rsidR="00602E9D" w:rsidRPr="003B2A2B" w:rsidRDefault="00602E9D">
      <w:pPr>
        <w:rPr>
          <w:rStyle w:val="Fett"/>
          <w:lang w:val="it-CH"/>
        </w:rPr>
      </w:pPr>
      <w:r w:rsidRPr="003B2A2B">
        <w:rPr>
          <w:lang w:val="it-CH"/>
        </w:rPr>
        <w:br w:type="page"/>
      </w:r>
      <w:r w:rsidR="003B2A2B">
        <w:rPr>
          <w:rStyle w:val="Fett"/>
          <w:lang w:val="it-CH"/>
        </w:rPr>
        <w:lastRenderedPageBreak/>
        <w:t>Note finali</w:t>
      </w:r>
    </w:p>
    <w:sectPr w:rsidR="00602E9D" w:rsidRPr="003B2A2B" w:rsidSect="00202D5E">
      <w:footerReference w:type="default" r:id="rId8"/>
      <w:endnotePr>
        <w:numFmt w:val="decimal"/>
      </w:endnotePr>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5D3" w:rsidRDefault="009925D3" w:rsidP="00202D5E">
      <w:pPr>
        <w:spacing w:after="0" w:line="240" w:lineRule="auto"/>
      </w:pPr>
      <w:r>
        <w:separator/>
      </w:r>
    </w:p>
  </w:endnote>
  <w:endnote w:type="continuationSeparator" w:id="0">
    <w:p w:rsidR="009925D3" w:rsidRDefault="009925D3" w:rsidP="00202D5E">
      <w:pPr>
        <w:spacing w:after="0" w:line="240" w:lineRule="auto"/>
      </w:pPr>
      <w:r>
        <w:continuationSeparator/>
      </w:r>
    </w:p>
  </w:endnote>
  <w:endnote w:id="1">
    <w:p w:rsidR="00EF6571" w:rsidRPr="003B2A2B" w:rsidRDefault="00EF6571" w:rsidP="003B2A2B">
      <w:pPr>
        <w:pStyle w:val="Endnotentext"/>
        <w:spacing w:after="200" w:line="276" w:lineRule="auto"/>
        <w:rPr>
          <w:sz w:val="22"/>
          <w:szCs w:val="22"/>
          <w:lang w:val="it-CH"/>
        </w:rPr>
      </w:pPr>
      <w:r w:rsidRPr="003B2A2B">
        <w:rPr>
          <w:rStyle w:val="Endnotenzeichen"/>
          <w:sz w:val="22"/>
          <w:szCs w:val="22"/>
        </w:rPr>
        <w:endnoteRef/>
      </w:r>
      <w:r w:rsidRPr="003B2A2B">
        <w:rPr>
          <w:sz w:val="22"/>
          <w:szCs w:val="22"/>
          <w:lang w:val="it-CH"/>
        </w:rPr>
        <w:t xml:space="preserve"> </w:t>
      </w:r>
      <w:r w:rsidRPr="00517580">
        <w:rPr>
          <w:sz w:val="22"/>
          <w:szCs w:val="22"/>
          <w:highlight w:val="yellow"/>
          <w:lang w:val="it-CH"/>
        </w:rPr>
        <w:t>Versione 1.1 del 18 giugno 2018</w:t>
      </w:r>
      <w:r w:rsidRPr="003B2A2B">
        <w:rPr>
          <w:sz w:val="22"/>
          <w:szCs w:val="22"/>
          <w:lang w:val="it-CH"/>
        </w:rPr>
        <w:t>.</w:t>
      </w:r>
    </w:p>
  </w:endnote>
  <w:endnote w:id="2">
    <w:p w:rsidR="00EF6571" w:rsidRPr="00C10CBF" w:rsidRDefault="00EF6571" w:rsidP="003B2A2B">
      <w:pPr>
        <w:pStyle w:val="Endnotentext"/>
        <w:spacing w:after="200" w:line="276" w:lineRule="auto"/>
        <w:rPr>
          <w:sz w:val="22"/>
          <w:szCs w:val="22"/>
          <w:lang w:val="it-CH"/>
        </w:rPr>
      </w:pPr>
      <w:r w:rsidRPr="003B2A2B">
        <w:rPr>
          <w:rStyle w:val="Endnotenzeichen"/>
          <w:sz w:val="22"/>
          <w:szCs w:val="22"/>
        </w:rPr>
        <w:endnoteRef/>
      </w:r>
      <w:r w:rsidRPr="00C10CBF">
        <w:rPr>
          <w:sz w:val="22"/>
          <w:szCs w:val="22"/>
          <w:lang w:val="it-CH"/>
        </w:rPr>
        <w:t xml:space="preserve"> Allegato 4 n. 12 OPac.</w:t>
      </w:r>
    </w:p>
  </w:endnote>
  <w:endnote w:id="3">
    <w:p w:rsidR="00EF6571" w:rsidRPr="003B2A2B" w:rsidRDefault="00EF6571" w:rsidP="003B2A2B">
      <w:pPr>
        <w:pStyle w:val="Endnotentext"/>
        <w:spacing w:after="200" w:line="276" w:lineRule="auto"/>
        <w:rPr>
          <w:sz w:val="22"/>
          <w:szCs w:val="22"/>
          <w:lang w:val="it-CH"/>
        </w:rPr>
      </w:pPr>
      <w:r w:rsidRPr="003B2A2B">
        <w:rPr>
          <w:rStyle w:val="Endnotenzeichen"/>
          <w:sz w:val="22"/>
          <w:szCs w:val="22"/>
        </w:rPr>
        <w:endnoteRef/>
      </w:r>
      <w:r w:rsidRPr="003B2A2B">
        <w:rPr>
          <w:sz w:val="22"/>
          <w:szCs w:val="22"/>
          <w:lang w:val="it-CH"/>
        </w:rPr>
        <w:t xml:space="preserve"> </w:t>
      </w:r>
      <w:r w:rsidR="003B2A2B" w:rsidRPr="003B2A2B">
        <w:rPr>
          <w:sz w:val="22"/>
          <w:szCs w:val="22"/>
          <w:lang w:val="it-CH"/>
        </w:rPr>
        <w:t>Allegato 4 n. 122-124 OPac.</w:t>
      </w:r>
    </w:p>
  </w:endnote>
  <w:endnote w:id="4">
    <w:p w:rsidR="00EF6571" w:rsidRPr="003B2A2B" w:rsidRDefault="00EF6571" w:rsidP="003B2A2B">
      <w:pPr>
        <w:pStyle w:val="Endnotentext"/>
        <w:spacing w:after="200" w:line="276" w:lineRule="auto"/>
        <w:rPr>
          <w:sz w:val="22"/>
          <w:szCs w:val="22"/>
          <w:lang w:val="it-CH"/>
        </w:rPr>
      </w:pPr>
      <w:r w:rsidRPr="003B2A2B">
        <w:rPr>
          <w:rStyle w:val="Endnotenzeichen"/>
          <w:sz w:val="22"/>
          <w:szCs w:val="22"/>
        </w:rPr>
        <w:endnoteRef/>
      </w:r>
      <w:r w:rsidRPr="003B2A2B">
        <w:rPr>
          <w:sz w:val="22"/>
          <w:szCs w:val="22"/>
          <w:lang w:val="it-CH"/>
        </w:rPr>
        <w:t xml:space="preserve"> </w:t>
      </w:r>
      <w:r w:rsidR="003B2A2B" w:rsidRPr="003B2A2B">
        <w:rPr>
          <w:i/>
          <w:sz w:val="22"/>
          <w:szCs w:val="22"/>
          <w:lang w:val="it-CH"/>
        </w:rPr>
        <w:t>Istruzioni pratiche per la protezione delle acque sotterranee</w:t>
      </w:r>
      <w:r w:rsidR="003B2A2B" w:rsidRPr="003B2A2B">
        <w:rPr>
          <w:sz w:val="22"/>
          <w:szCs w:val="22"/>
          <w:lang w:val="it-CH"/>
        </w:rPr>
        <w:t xml:space="preserve">, UFAFP </w:t>
      </w:r>
      <w:r w:rsidR="003B2A2B" w:rsidRPr="00517580">
        <w:rPr>
          <w:sz w:val="22"/>
          <w:szCs w:val="22"/>
          <w:highlight w:val="yellow"/>
          <w:lang w:val="it-CH"/>
        </w:rPr>
        <w:t>(oggi UFAM)</w:t>
      </w:r>
      <w:r w:rsidR="003B2A2B" w:rsidRPr="003B2A2B">
        <w:rPr>
          <w:sz w:val="22"/>
          <w:szCs w:val="22"/>
          <w:lang w:val="it-CH"/>
        </w:rPr>
        <w:t>, 2004.</w:t>
      </w:r>
    </w:p>
  </w:endnote>
  <w:endnote w:id="5">
    <w:p w:rsidR="00EF6571" w:rsidRPr="003B2A2B" w:rsidRDefault="00EF6571" w:rsidP="003B2A2B">
      <w:pPr>
        <w:pStyle w:val="Endnotentext"/>
        <w:spacing w:after="200" w:line="276" w:lineRule="auto"/>
        <w:rPr>
          <w:sz w:val="22"/>
          <w:szCs w:val="22"/>
          <w:lang w:val="it-CH"/>
        </w:rPr>
      </w:pPr>
      <w:r w:rsidRPr="003B2A2B">
        <w:rPr>
          <w:rStyle w:val="Endnotenzeichen"/>
          <w:sz w:val="22"/>
          <w:szCs w:val="22"/>
        </w:rPr>
        <w:endnoteRef/>
      </w:r>
      <w:r w:rsidRPr="003B2A2B">
        <w:rPr>
          <w:sz w:val="22"/>
          <w:szCs w:val="22"/>
          <w:lang w:val="it-CH"/>
        </w:rPr>
        <w:t xml:space="preserve"> </w:t>
      </w:r>
      <w:r w:rsidR="00980466" w:rsidRPr="00980466">
        <w:rPr>
          <w:sz w:val="22"/>
          <w:szCs w:val="22"/>
          <w:lang w:val="it-CH"/>
        </w:rPr>
        <w:t>Cfr. al riguardo art. 48 cpv. 1 LPAc, nonché art. 7 lett. d e art. 8 OCPAc.</w:t>
      </w:r>
    </w:p>
  </w:endnote>
  <w:endnote w:id="6">
    <w:p w:rsidR="00EF6571" w:rsidRPr="004E147E" w:rsidRDefault="00EF6571" w:rsidP="003B2A2B">
      <w:pPr>
        <w:pStyle w:val="Endnotentext"/>
        <w:spacing w:after="200" w:line="276" w:lineRule="auto"/>
        <w:rPr>
          <w:sz w:val="22"/>
          <w:szCs w:val="22"/>
          <w:lang w:val="it-CH"/>
        </w:rPr>
      </w:pPr>
      <w:r w:rsidRPr="003B2A2B">
        <w:rPr>
          <w:rStyle w:val="Endnotenzeichen"/>
          <w:sz w:val="22"/>
          <w:szCs w:val="22"/>
        </w:rPr>
        <w:endnoteRef/>
      </w:r>
      <w:r w:rsidRPr="004E147E">
        <w:rPr>
          <w:sz w:val="22"/>
          <w:szCs w:val="22"/>
          <w:lang w:val="it-CH"/>
        </w:rPr>
        <w:t xml:space="preserve"> </w:t>
      </w:r>
      <w:r w:rsidR="00980466" w:rsidRPr="004E147E">
        <w:rPr>
          <w:sz w:val="22"/>
          <w:szCs w:val="22"/>
          <w:lang w:val="it-CH"/>
        </w:rPr>
        <w:t>Art. 19 cpv. 2 LPAc, art. 32 OPAc.</w:t>
      </w:r>
    </w:p>
  </w:endnote>
  <w:endnote w:id="7">
    <w:p w:rsidR="00EF6571" w:rsidRPr="00980466" w:rsidRDefault="00EF6571" w:rsidP="003B2A2B">
      <w:pPr>
        <w:pStyle w:val="Endnotentext"/>
        <w:spacing w:after="200" w:line="276" w:lineRule="auto"/>
        <w:rPr>
          <w:sz w:val="22"/>
          <w:szCs w:val="22"/>
          <w:lang w:val="it-CH"/>
        </w:rPr>
      </w:pPr>
      <w:r w:rsidRPr="003B2A2B">
        <w:rPr>
          <w:rStyle w:val="Endnotenzeichen"/>
          <w:sz w:val="22"/>
          <w:szCs w:val="22"/>
        </w:rPr>
        <w:endnoteRef/>
      </w:r>
      <w:r w:rsidRPr="00980466">
        <w:rPr>
          <w:sz w:val="22"/>
          <w:szCs w:val="22"/>
          <w:lang w:val="it-CH"/>
        </w:rPr>
        <w:t xml:space="preserve"> </w:t>
      </w:r>
      <w:r w:rsidR="00980466" w:rsidRPr="00980466">
        <w:rPr>
          <w:sz w:val="22"/>
          <w:szCs w:val="22"/>
          <w:lang w:val="it-CH"/>
        </w:rPr>
        <w:t>Conformemente all'art. 1 cpv. 2 OCPAc, l'ufficio cantonale preposto alla protezione delle acque è l'Ufficio per la protezione dell'ambiente; a seguito di diversi cambiamenti del nome oggi Ufficio per la natura e l'ambiente (UNA).</w:t>
      </w:r>
    </w:p>
  </w:endnote>
  <w:endnote w:id="8">
    <w:p w:rsidR="00EF6571" w:rsidRPr="00980466" w:rsidRDefault="00EF6571" w:rsidP="003B2A2B">
      <w:pPr>
        <w:pStyle w:val="Endnotentext"/>
        <w:spacing w:after="200" w:line="276" w:lineRule="auto"/>
        <w:rPr>
          <w:sz w:val="22"/>
          <w:szCs w:val="22"/>
          <w:lang w:val="it-CH"/>
        </w:rPr>
      </w:pPr>
      <w:r w:rsidRPr="003B2A2B">
        <w:rPr>
          <w:rStyle w:val="Endnotenzeichen"/>
          <w:sz w:val="22"/>
          <w:szCs w:val="22"/>
        </w:rPr>
        <w:endnoteRef/>
      </w:r>
      <w:r w:rsidRPr="00980466">
        <w:rPr>
          <w:sz w:val="22"/>
          <w:szCs w:val="22"/>
          <w:lang w:val="it-CH"/>
        </w:rPr>
        <w:t xml:space="preserve"> </w:t>
      </w:r>
      <w:r w:rsidR="00980466" w:rsidRPr="00980466">
        <w:rPr>
          <w:sz w:val="22"/>
          <w:szCs w:val="22"/>
          <w:lang w:val="it-CH"/>
        </w:rPr>
        <w:t>Art. 7 lett. d OCPAc.</w:t>
      </w:r>
    </w:p>
  </w:endnote>
  <w:endnote w:id="9">
    <w:p w:rsidR="00EF6571" w:rsidRPr="00980466" w:rsidRDefault="00EF6571" w:rsidP="003B2A2B">
      <w:pPr>
        <w:pStyle w:val="Endnotentext"/>
        <w:spacing w:after="200" w:line="276" w:lineRule="auto"/>
        <w:rPr>
          <w:sz w:val="22"/>
          <w:szCs w:val="22"/>
          <w:lang w:val="it-CH"/>
        </w:rPr>
      </w:pPr>
      <w:r w:rsidRPr="003B2A2B">
        <w:rPr>
          <w:rStyle w:val="Endnotenzeichen"/>
          <w:sz w:val="22"/>
          <w:szCs w:val="22"/>
        </w:rPr>
        <w:endnoteRef/>
      </w:r>
      <w:r w:rsidRPr="00980466">
        <w:rPr>
          <w:sz w:val="22"/>
          <w:szCs w:val="22"/>
          <w:lang w:val="it-CH"/>
        </w:rPr>
        <w:t xml:space="preserve"> </w:t>
      </w:r>
      <w:r w:rsidR="00980466" w:rsidRPr="00980466">
        <w:rPr>
          <w:sz w:val="22"/>
          <w:szCs w:val="22"/>
          <w:lang w:val="it-CH"/>
        </w:rPr>
        <w:t>Cfr. al riguardo art. 48 cpv. 1 LPAc e art. 8 OCPAc.</w:t>
      </w:r>
    </w:p>
  </w:endnote>
  <w:endnote w:id="10">
    <w:p w:rsidR="00EF6571" w:rsidRPr="00980466" w:rsidRDefault="00EF6571" w:rsidP="003B2A2B">
      <w:pPr>
        <w:pStyle w:val="Endnotentext"/>
        <w:spacing w:after="200" w:line="276" w:lineRule="auto"/>
        <w:rPr>
          <w:sz w:val="22"/>
          <w:szCs w:val="22"/>
          <w:lang w:val="it-CH"/>
        </w:rPr>
      </w:pPr>
      <w:r w:rsidRPr="003B2A2B">
        <w:rPr>
          <w:rStyle w:val="Endnotenzeichen"/>
          <w:sz w:val="22"/>
          <w:szCs w:val="22"/>
        </w:rPr>
        <w:endnoteRef/>
      </w:r>
      <w:r w:rsidRPr="003B2A2B">
        <w:rPr>
          <w:sz w:val="22"/>
          <w:szCs w:val="22"/>
        </w:rPr>
        <w:t xml:space="preserve"> </w:t>
      </w:r>
      <w:r w:rsidR="00980466" w:rsidRPr="00980466">
        <w:rPr>
          <w:sz w:val="22"/>
          <w:szCs w:val="22"/>
        </w:rPr>
        <w:t xml:space="preserve">Art. 9 seg. e 12 OCPAc, art. 88 LPTC, art. 52 segg. </w:t>
      </w:r>
      <w:r w:rsidR="00980466" w:rsidRPr="00980466">
        <w:rPr>
          <w:sz w:val="22"/>
          <w:szCs w:val="22"/>
          <w:lang w:val="it-CH"/>
        </w:rPr>
        <w:t>OPTC.</w:t>
      </w:r>
    </w:p>
  </w:endnote>
  <w:endnote w:id="11">
    <w:p w:rsidR="00EF6571" w:rsidRPr="00980466" w:rsidRDefault="00EF6571" w:rsidP="003B2A2B">
      <w:pPr>
        <w:pStyle w:val="Endnotentext"/>
        <w:spacing w:after="200" w:line="276" w:lineRule="auto"/>
        <w:rPr>
          <w:sz w:val="22"/>
          <w:szCs w:val="22"/>
          <w:lang w:val="it-CH"/>
        </w:rPr>
      </w:pPr>
      <w:r w:rsidRPr="003B2A2B">
        <w:rPr>
          <w:rStyle w:val="Endnotenzeichen"/>
          <w:sz w:val="22"/>
          <w:szCs w:val="22"/>
        </w:rPr>
        <w:endnoteRef/>
      </w:r>
      <w:r w:rsidRPr="00980466">
        <w:rPr>
          <w:sz w:val="22"/>
          <w:szCs w:val="22"/>
          <w:lang w:val="it-CH"/>
        </w:rPr>
        <w:t xml:space="preserve"> </w:t>
      </w:r>
      <w:r w:rsidR="00980466" w:rsidRPr="00517580">
        <w:rPr>
          <w:sz w:val="22"/>
          <w:szCs w:val="22"/>
          <w:highlight w:val="yellow"/>
          <w:lang w:val="it-CH"/>
        </w:rPr>
        <w:t>In particolare art. 7, 10 e 26 LDerr; art</w:t>
      </w:r>
      <w:r w:rsidR="00C10CBF" w:rsidRPr="00517580">
        <w:rPr>
          <w:sz w:val="22"/>
          <w:szCs w:val="22"/>
          <w:highlight w:val="yellow"/>
          <w:lang w:val="it-CH"/>
        </w:rPr>
        <w:t>. 8. e 73 segg. ODerr; art. 3–6</w:t>
      </w:r>
      <w:r w:rsidR="00980466" w:rsidRPr="00517580">
        <w:rPr>
          <w:sz w:val="22"/>
          <w:szCs w:val="22"/>
          <w:highlight w:val="yellow"/>
          <w:lang w:val="it-CH"/>
        </w:rPr>
        <w:t xml:space="preserve"> e appendice 1–3 OPPD; art. 16 e 66 segg. ORI</w:t>
      </w:r>
      <w:r w:rsidR="00980466" w:rsidRPr="00980466">
        <w:rPr>
          <w:sz w:val="22"/>
          <w:szCs w:val="22"/>
          <w:lang w:val="it-CH"/>
        </w:rPr>
        <w:t>.</w:t>
      </w:r>
    </w:p>
  </w:endnote>
  <w:endnote w:id="12">
    <w:p w:rsidR="00EF6571" w:rsidRPr="00980466" w:rsidRDefault="00EF6571" w:rsidP="003B2A2B">
      <w:pPr>
        <w:pStyle w:val="Endnotentext"/>
        <w:spacing w:after="200" w:line="276" w:lineRule="auto"/>
        <w:rPr>
          <w:sz w:val="22"/>
          <w:szCs w:val="22"/>
          <w:lang w:val="it-CH"/>
        </w:rPr>
      </w:pPr>
      <w:r w:rsidRPr="003B2A2B">
        <w:rPr>
          <w:rStyle w:val="Endnotenzeichen"/>
          <w:sz w:val="22"/>
          <w:szCs w:val="22"/>
        </w:rPr>
        <w:endnoteRef/>
      </w:r>
      <w:r w:rsidRPr="00980466">
        <w:rPr>
          <w:sz w:val="22"/>
          <w:szCs w:val="22"/>
          <w:lang w:val="it-CH"/>
        </w:rPr>
        <w:t xml:space="preserve"> </w:t>
      </w:r>
      <w:r w:rsidR="00980466" w:rsidRPr="00980466">
        <w:rPr>
          <w:sz w:val="22"/>
          <w:szCs w:val="22"/>
          <w:lang w:val="it-CH"/>
        </w:rPr>
        <w:t>Appendice 2 n. 2 OPac.</w:t>
      </w:r>
    </w:p>
  </w:endnote>
  <w:endnote w:id="13">
    <w:p w:rsidR="00EF6571" w:rsidRPr="00980466" w:rsidRDefault="00EF6571" w:rsidP="003B2A2B">
      <w:pPr>
        <w:pStyle w:val="Endnotentext"/>
        <w:spacing w:after="200" w:line="276" w:lineRule="auto"/>
        <w:rPr>
          <w:sz w:val="22"/>
          <w:szCs w:val="22"/>
          <w:lang w:val="it-CH"/>
        </w:rPr>
      </w:pPr>
      <w:r w:rsidRPr="003B2A2B">
        <w:rPr>
          <w:rStyle w:val="Endnotenzeichen"/>
          <w:sz w:val="22"/>
          <w:szCs w:val="22"/>
        </w:rPr>
        <w:endnoteRef/>
      </w:r>
      <w:r w:rsidRPr="00980466">
        <w:rPr>
          <w:sz w:val="22"/>
          <w:szCs w:val="22"/>
          <w:lang w:val="it-CH"/>
        </w:rPr>
        <w:t xml:space="preserve"> </w:t>
      </w:r>
      <w:r w:rsidR="00980466" w:rsidRPr="00980466">
        <w:rPr>
          <w:i/>
          <w:sz w:val="22"/>
          <w:szCs w:val="22"/>
          <w:lang w:val="it-CH"/>
        </w:rPr>
        <w:t>Direttiva per il controllo della qualità dell'approvvigionamento di acqua potabile (Richtlinie für die Qualitätsüberwachung in der Trinkwasserversorgung)</w:t>
      </w:r>
      <w:r w:rsidR="00980466" w:rsidRPr="00980466">
        <w:rPr>
          <w:sz w:val="22"/>
          <w:szCs w:val="22"/>
          <w:lang w:val="it-CH"/>
        </w:rPr>
        <w:t xml:space="preserve"> e </w:t>
      </w:r>
      <w:r w:rsidR="00980466" w:rsidRPr="00980466">
        <w:rPr>
          <w:i/>
          <w:sz w:val="22"/>
          <w:szCs w:val="22"/>
          <w:lang w:val="it-CH"/>
        </w:rPr>
        <w:t>direttiva per la garanzia della qualità nelle zone di protezione delle acque sotterranee (Richtlinie für die Qualitätssicherung in Grundwasserschutzzonen)</w:t>
      </w:r>
      <w:r w:rsidR="00980466" w:rsidRPr="00980466">
        <w:rPr>
          <w:sz w:val="22"/>
          <w:szCs w:val="22"/>
          <w:lang w:val="it-CH"/>
        </w:rPr>
        <w:t>, SSIGA, 2005.</w:t>
      </w:r>
    </w:p>
  </w:endnote>
  <w:endnote w:id="14">
    <w:p w:rsidR="00EF6571" w:rsidRPr="003B2A2B" w:rsidRDefault="00EF6571" w:rsidP="003B2A2B">
      <w:pPr>
        <w:pStyle w:val="Endnotentext"/>
        <w:spacing w:after="200" w:line="276" w:lineRule="auto"/>
        <w:rPr>
          <w:sz w:val="22"/>
          <w:szCs w:val="22"/>
        </w:rPr>
      </w:pPr>
      <w:r w:rsidRPr="003B2A2B">
        <w:rPr>
          <w:rStyle w:val="Endnotenzeichen"/>
          <w:sz w:val="22"/>
          <w:szCs w:val="22"/>
        </w:rPr>
        <w:endnoteRef/>
      </w:r>
      <w:r w:rsidRPr="003B2A2B">
        <w:rPr>
          <w:sz w:val="22"/>
          <w:szCs w:val="22"/>
        </w:rPr>
        <w:t xml:space="preserve"> </w:t>
      </w:r>
      <w:r w:rsidR="00980466" w:rsidRPr="00980466">
        <w:rPr>
          <w:i/>
          <w:sz w:val="22"/>
          <w:szCs w:val="22"/>
        </w:rPr>
        <w:t>Bauarbeiten in Grundwasserschutzzonen (Zonen S)</w:t>
      </w:r>
      <w:r w:rsidR="00980466" w:rsidRPr="00980466">
        <w:rPr>
          <w:sz w:val="22"/>
          <w:szCs w:val="22"/>
        </w:rPr>
        <w:t xml:space="preserve">, </w:t>
      </w:r>
      <w:r w:rsidR="00980466" w:rsidRPr="00517580">
        <w:rPr>
          <w:sz w:val="22"/>
          <w:szCs w:val="22"/>
          <w:highlight w:val="yellow"/>
        </w:rPr>
        <w:t xml:space="preserve">promemoria n. </w:t>
      </w:r>
      <w:r w:rsidR="00517580">
        <w:rPr>
          <w:sz w:val="22"/>
          <w:szCs w:val="22"/>
          <w:highlight w:val="yellow"/>
        </w:rPr>
        <w:t>A</w:t>
      </w:r>
      <w:r w:rsidR="00980466" w:rsidRPr="00517580">
        <w:rPr>
          <w:sz w:val="22"/>
          <w:szCs w:val="22"/>
          <w:highlight w:val="yellow"/>
        </w:rPr>
        <w:t>M012</w:t>
      </w:r>
      <w:r w:rsidR="00980466" w:rsidRPr="00980466">
        <w:rPr>
          <w:sz w:val="22"/>
          <w:szCs w:val="22"/>
        </w:rPr>
        <w:t>, UNA, 2009.</w:t>
      </w:r>
    </w:p>
  </w:endnote>
  <w:endnote w:id="15">
    <w:p w:rsidR="00EF6571" w:rsidRPr="003B2A2B" w:rsidRDefault="00EF6571" w:rsidP="003B2A2B">
      <w:pPr>
        <w:pStyle w:val="Endnotentext"/>
        <w:spacing w:after="200" w:line="276" w:lineRule="auto"/>
        <w:rPr>
          <w:sz w:val="22"/>
          <w:szCs w:val="22"/>
        </w:rPr>
      </w:pPr>
      <w:r w:rsidRPr="003B2A2B">
        <w:rPr>
          <w:rStyle w:val="Endnotenzeichen"/>
          <w:sz w:val="22"/>
          <w:szCs w:val="22"/>
        </w:rPr>
        <w:endnoteRef/>
      </w:r>
      <w:r w:rsidRPr="003B2A2B">
        <w:rPr>
          <w:sz w:val="22"/>
          <w:szCs w:val="22"/>
        </w:rPr>
        <w:t xml:space="preserve"> </w:t>
      </w:r>
      <w:r w:rsidR="00980466" w:rsidRPr="00980466">
        <w:rPr>
          <w:sz w:val="22"/>
          <w:szCs w:val="22"/>
        </w:rPr>
        <w:t>Allegato 4 n. 221 cpv. 1 OPac.</w:t>
      </w:r>
    </w:p>
  </w:endnote>
  <w:endnote w:id="16">
    <w:p w:rsidR="00EF6571" w:rsidRPr="003B2A2B" w:rsidRDefault="00EF6571" w:rsidP="003B2A2B">
      <w:pPr>
        <w:pStyle w:val="Endnotentext"/>
        <w:spacing w:after="200" w:line="276" w:lineRule="auto"/>
        <w:rPr>
          <w:sz w:val="22"/>
          <w:szCs w:val="22"/>
        </w:rPr>
      </w:pPr>
      <w:r w:rsidRPr="003B2A2B">
        <w:rPr>
          <w:rStyle w:val="Endnotenzeichen"/>
          <w:sz w:val="22"/>
          <w:szCs w:val="22"/>
        </w:rPr>
        <w:endnoteRef/>
      </w:r>
      <w:r w:rsidRPr="003B2A2B">
        <w:rPr>
          <w:sz w:val="22"/>
          <w:szCs w:val="22"/>
        </w:rPr>
        <w:t xml:space="preserve"> </w:t>
      </w:r>
      <w:r w:rsidR="00980466" w:rsidRPr="00980466">
        <w:rPr>
          <w:i/>
          <w:sz w:val="22"/>
          <w:szCs w:val="22"/>
        </w:rPr>
        <w:t>Baulicher Umweltschutz in der Landwirtschaft</w:t>
      </w:r>
      <w:r w:rsidR="00980466" w:rsidRPr="00980466">
        <w:rPr>
          <w:sz w:val="22"/>
          <w:szCs w:val="22"/>
        </w:rPr>
        <w:t xml:space="preserve">, UFAM e UFAG, </w:t>
      </w:r>
      <w:r w:rsidR="00980466" w:rsidRPr="00517580">
        <w:rPr>
          <w:sz w:val="22"/>
          <w:szCs w:val="22"/>
          <w:highlight w:val="yellow"/>
        </w:rPr>
        <w:t>stato maggio 2012</w:t>
      </w:r>
      <w:r w:rsidR="00980466" w:rsidRPr="00980466">
        <w:rPr>
          <w:sz w:val="22"/>
          <w:szCs w:val="22"/>
        </w:rPr>
        <w:t>, cfr. art. 15 cpv. 1 LPAc.</w:t>
      </w:r>
    </w:p>
  </w:endnote>
  <w:endnote w:id="17">
    <w:p w:rsidR="00EF6571" w:rsidRPr="00980466" w:rsidRDefault="00EF6571" w:rsidP="003B2A2B">
      <w:pPr>
        <w:pStyle w:val="Endnotentext"/>
        <w:spacing w:after="200" w:line="276" w:lineRule="auto"/>
        <w:rPr>
          <w:sz w:val="22"/>
          <w:szCs w:val="22"/>
          <w:lang w:val="it-CH"/>
        </w:rPr>
      </w:pPr>
      <w:r w:rsidRPr="003B2A2B">
        <w:rPr>
          <w:rStyle w:val="Endnotenzeichen"/>
          <w:sz w:val="22"/>
          <w:szCs w:val="22"/>
        </w:rPr>
        <w:endnoteRef/>
      </w:r>
      <w:r w:rsidRPr="00980466">
        <w:rPr>
          <w:sz w:val="22"/>
          <w:szCs w:val="22"/>
          <w:lang w:val="it-CH"/>
        </w:rPr>
        <w:t xml:space="preserve"> </w:t>
      </w:r>
      <w:r w:rsidR="00980466" w:rsidRPr="00980466">
        <w:rPr>
          <w:sz w:val="22"/>
          <w:szCs w:val="22"/>
          <w:lang w:val="it-CH"/>
        </w:rPr>
        <w:t>Allegato 4 n. 221 cpv. 1 lett. b OPac.</w:t>
      </w:r>
    </w:p>
  </w:endnote>
  <w:endnote w:id="18">
    <w:p w:rsidR="00EF6571" w:rsidRPr="00980466" w:rsidRDefault="00EF6571" w:rsidP="003B2A2B">
      <w:pPr>
        <w:pStyle w:val="Endnotentext"/>
        <w:spacing w:after="200" w:line="276" w:lineRule="auto"/>
        <w:rPr>
          <w:sz w:val="22"/>
          <w:szCs w:val="22"/>
          <w:lang w:val="it-CH"/>
        </w:rPr>
      </w:pPr>
      <w:r w:rsidRPr="003B2A2B">
        <w:rPr>
          <w:rStyle w:val="Endnotenzeichen"/>
          <w:sz w:val="22"/>
          <w:szCs w:val="22"/>
        </w:rPr>
        <w:endnoteRef/>
      </w:r>
      <w:r w:rsidRPr="00980466">
        <w:rPr>
          <w:sz w:val="22"/>
          <w:szCs w:val="22"/>
          <w:lang w:val="it-CH"/>
        </w:rPr>
        <w:t xml:space="preserve"> </w:t>
      </w:r>
      <w:r w:rsidR="00980466" w:rsidRPr="00517580">
        <w:rPr>
          <w:i/>
          <w:sz w:val="22"/>
          <w:szCs w:val="22"/>
          <w:highlight w:val="yellow"/>
          <w:lang w:val="it-CH"/>
        </w:rPr>
        <w:t>Direttiva sulla gestione dei rifiuti edili,</w:t>
      </w:r>
      <w:r w:rsidR="00980466" w:rsidRPr="00517580">
        <w:rPr>
          <w:sz w:val="22"/>
          <w:szCs w:val="22"/>
          <w:highlight w:val="yellow"/>
          <w:lang w:val="it-CH"/>
        </w:rPr>
        <w:t xml:space="preserve"> Direttiva n. BW001i, UNA, 2017, cap. 4.5.1</w:t>
      </w:r>
      <w:r w:rsidR="00980466" w:rsidRPr="00980466">
        <w:rPr>
          <w:sz w:val="22"/>
          <w:szCs w:val="22"/>
          <w:lang w:val="it-CH"/>
        </w:rPr>
        <w:t>.</w:t>
      </w:r>
    </w:p>
  </w:endnote>
  <w:endnote w:id="19">
    <w:p w:rsidR="00EF6571" w:rsidRPr="00980466" w:rsidRDefault="00EF6571" w:rsidP="003B2A2B">
      <w:pPr>
        <w:pStyle w:val="Endnotentext"/>
        <w:spacing w:after="200" w:line="276" w:lineRule="auto"/>
        <w:rPr>
          <w:sz w:val="22"/>
          <w:szCs w:val="22"/>
          <w:lang w:val="it-CH"/>
        </w:rPr>
      </w:pPr>
      <w:r w:rsidRPr="003B2A2B">
        <w:rPr>
          <w:rStyle w:val="Endnotenzeichen"/>
          <w:sz w:val="22"/>
          <w:szCs w:val="22"/>
        </w:rPr>
        <w:endnoteRef/>
      </w:r>
      <w:r w:rsidRPr="00980466">
        <w:rPr>
          <w:sz w:val="22"/>
          <w:szCs w:val="22"/>
          <w:lang w:val="it-CH"/>
        </w:rPr>
        <w:t xml:space="preserve"> </w:t>
      </w:r>
      <w:r w:rsidR="00980466" w:rsidRPr="00980466">
        <w:rPr>
          <w:i/>
          <w:sz w:val="22"/>
          <w:lang w:val="it-IT"/>
        </w:rPr>
        <w:t xml:space="preserve">Direttiva per il riciclaggio dei rifiuti edili minerali, </w:t>
      </w:r>
      <w:r w:rsidR="00980466" w:rsidRPr="00980466">
        <w:rPr>
          <w:sz w:val="22"/>
          <w:lang w:val="it-IT"/>
        </w:rPr>
        <w:t>UFAM, 2006, n. 5–11, p. 22.</w:t>
      </w:r>
    </w:p>
  </w:endnote>
  <w:endnote w:id="20">
    <w:p w:rsidR="00EF6571" w:rsidRPr="00980466" w:rsidRDefault="00EF6571" w:rsidP="003B2A2B">
      <w:pPr>
        <w:pStyle w:val="Endnotentext"/>
        <w:spacing w:after="200" w:line="276" w:lineRule="auto"/>
        <w:rPr>
          <w:sz w:val="22"/>
          <w:szCs w:val="22"/>
          <w:lang w:val="it-CH"/>
        </w:rPr>
      </w:pPr>
      <w:r w:rsidRPr="003B2A2B">
        <w:rPr>
          <w:rStyle w:val="Endnotenzeichen"/>
          <w:sz w:val="22"/>
          <w:szCs w:val="22"/>
        </w:rPr>
        <w:endnoteRef/>
      </w:r>
      <w:r w:rsidRPr="00980466">
        <w:rPr>
          <w:sz w:val="22"/>
          <w:szCs w:val="22"/>
          <w:lang w:val="it-CH"/>
        </w:rPr>
        <w:t xml:space="preserve"> </w:t>
      </w:r>
      <w:r w:rsidR="00980466" w:rsidRPr="00980466">
        <w:rPr>
          <w:sz w:val="22"/>
          <w:szCs w:val="22"/>
          <w:lang w:val="it-CH"/>
        </w:rPr>
        <w:t>Cfr. art. 15 cpv. 1 LPAc.</w:t>
      </w:r>
    </w:p>
  </w:endnote>
  <w:endnote w:id="21">
    <w:p w:rsidR="00EF6571" w:rsidRPr="00980466" w:rsidRDefault="00EF6571" w:rsidP="003B2A2B">
      <w:pPr>
        <w:pStyle w:val="Endnotentext"/>
        <w:spacing w:after="200" w:line="276" w:lineRule="auto"/>
        <w:rPr>
          <w:sz w:val="22"/>
          <w:szCs w:val="22"/>
          <w:lang w:val="it-CH"/>
        </w:rPr>
      </w:pPr>
      <w:r w:rsidRPr="00980466">
        <w:rPr>
          <w:rStyle w:val="Endnotenzeichen"/>
          <w:sz w:val="22"/>
          <w:szCs w:val="22"/>
        </w:rPr>
        <w:endnoteRef/>
      </w:r>
      <w:r w:rsidRPr="00980466">
        <w:rPr>
          <w:sz w:val="22"/>
          <w:szCs w:val="22"/>
          <w:lang w:val="it-CH"/>
        </w:rPr>
        <w:t xml:space="preserve"> </w:t>
      </w:r>
      <w:r w:rsidR="00980466" w:rsidRPr="00980466">
        <w:rPr>
          <w:i/>
          <w:sz w:val="22"/>
          <w:szCs w:val="22"/>
          <w:lang w:val="it-IT"/>
        </w:rPr>
        <w:t>Direttiva Prove di tenuta per impianti di evacuazione di acque di scarico</w:t>
      </w:r>
      <w:r w:rsidR="00980466" w:rsidRPr="00980466">
        <w:rPr>
          <w:sz w:val="22"/>
          <w:szCs w:val="22"/>
          <w:lang w:val="it-IT"/>
        </w:rPr>
        <w:t xml:space="preserve">, VSA, 2002; </w:t>
      </w:r>
      <w:r w:rsidR="00980466" w:rsidRPr="00517580">
        <w:rPr>
          <w:sz w:val="22"/>
          <w:szCs w:val="22"/>
          <w:highlight w:val="yellow"/>
          <w:lang w:val="it-IT"/>
        </w:rPr>
        <w:t xml:space="preserve">norma SIA 190, </w:t>
      </w:r>
      <w:r w:rsidR="00980466" w:rsidRPr="00517580">
        <w:rPr>
          <w:i/>
          <w:sz w:val="22"/>
          <w:szCs w:val="22"/>
          <w:highlight w:val="yellow"/>
          <w:lang w:val="it-IT"/>
        </w:rPr>
        <w:t>Kanalisationen,</w:t>
      </w:r>
      <w:r w:rsidR="00980466" w:rsidRPr="00517580">
        <w:rPr>
          <w:sz w:val="22"/>
          <w:szCs w:val="22"/>
          <w:highlight w:val="yellow"/>
          <w:lang w:val="it-IT"/>
        </w:rPr>
        <w:t xml:space="preserve"> edizione 2017; norma SIA 190.203, </w:t>
      </w:r>
      <w:r w:rsidR="00980466" w:rsidRPr="00517580">
        <w:rPr>
          <w:i/>
          <w:sz w:val="22"/>
          <w:szCs w:val="22"/>
          <w:highlight w:val="yellow"/>
          <w:lang w:val="it-IT"/>
        </w:rPr>
        <w:t>Prüfung von Abwasserleitungen und -kanälen</w:t>
      </w:r>
      <w:r w:rsidR="00980466" w:rsidRPr="00517580">
        <w:rPr>
          <w:sz w:val="22"/>
          <w:szCs w:val="22"/>
          <w:highlight w:val="yellow"/>
          <w:lang w:val="it-IT"/>
        </w:rPr>
        <w:t>, edizione 2015</w:t>
      </w:r>
      <w:r w:rsidR="00980466" w:rsidRPr="00980466">
        <w:rPr>
          <w:sz w:val="22"/>
          <w:szCs w:val="22"/>
          <w:lang w:val="it-IT"/>
        </w:rPr>
        <w:t xml:space="preserve">; </w:t>
      </w:r>
      <w:r w:rsidR="00980466" w:rsidRPr="00980466">
        <w:rPr>
          <w:i/>
          <w:sz w:val="22"/>
          <w:szCs w:val="22"/>
          <w:lang w:val="it-IT"/>
        </w:rPr>
        <w:t>Durchführung von Dichtigkeitsprüfungen bei Behältern von privaten Abwasseranlagen</w:t>
      </w:r>
      <w:r w:rsidR="00980466" w:rsidRPr="00980466">
        <w:rPr>
          <w:sz w:val="22"/>
          <w:szCs w:val="22"/>
          <w:lang w:val="it-IT"/>
        </w:rPr>
        <w:t>, promemoria AM017, UNA, 2011.</w:t>
      </w:r>
    </w:p>
  </w:endnote>
  <w:endnote w:id="22">
    <w:p w:rsidR="00EF6571" w:rsidRPr="00980466" w:rsidRDefault="00EF6571" w:rsidP="003B2A2B">
      <w:pPr>
        <w:pStyle w:val="Endnotentext"/>
        <w:spacing w:after="200" w:line="276" w:lineRule="auto"/>
        <w:rPr>
          <w:sz w:val="22"/>
          <w:szCs w:val="22"/>
          <w:lang w:val="it-CH"/>
        </w:rPr>
      </w:pPr>
      <w:r w:rsidRPr="003B2A2B">
        <w:rPr>
          <w:rStyle w:val="Endnotenzeichen"/>
          <w:sz w:val="22"/>
          <w:szCs w:val="22"/>
        </w:rPr>
        <w:endnoteRef/>
      </w:r>
      <w:r w:rsidRPr="00980466">
        <w:rPr>
          <w:sz w:val="22"/>
          <w:szCs w:val="22"/>
          <w:lang w:val="it-CH"/>
        </w:rPr>
        <w:t xml:space="preserve"> </w:t>
      </w:r>
      <w:r w:rsidR="00980466" w:rsidRPr="00980466">
        <w:rPr>
          <w:sz w:val="22"/>
          <w:szCs w:val="22"/>
          <w:lang w:val="it-CH"/>
        </w:rPr>
        <w:t>Allegato 4 n. 221 cpv. 1 lett. c OPac.</w:t>
      </w:r>
    </w:p>
  </w:endnote>
  <w:endnote w:id="23">
    <w:p w:rsidR="00EF6571" w:rsidRPr="00980466" w:rsidRDefault="00EF6571" w:rsidP="003B2A2B">
      <w:pPr>
        <w:pStyle w:val="Endnotentext"/>
        <w:spacing w:after="200" w:line="276" w:lineRule="auto"/>
        <w:rPr>
          <w:sz w:val="22"/>
          <w:szCs w:val="22"/>
          <w:lang w:val="it-CH"/>
        </w:rPr>
      </w:pPr>
      <w:r w:rsidRPr="003B2A2B">
        <w:rPr>
          <w:rStyle w:val="Endnotenzeichen"/>
          <w:sz w:val="22"/>
          <w:szCs w:val="22"/>
        </w:rPr>
        <w:endnoteRef/>
      </w:r>
      <w:r w:rsidRPr="00980466">
        <w:rPr>
          <w:sz w:val="22"/>
          <w:szCs w:val="22"/>
          <w:lang w:val="it-CH"/>
        </w:rPr>
        <w:t xml:space="preserve"> </w:t>
      </w:r>
      <w:r w:rsidR="00980466" w:rsidRPr="00980466">
        <w:rPr>
          <w:sz w:val="22"/>
          <w:szCs w:val="22"/>
          <w:lang w:val="it-CH"/>
        </w:rPr>
        <w:t>Allegato 2.6 n. 3.3.1 cpv. 4 e n. 5.2 cpv. 1 ORRPChim.</w:t>
      </w:r>
    </w:p>
  </w:endnote>
  <w:endnote w:id="24">
    <w:p w:rsidR="00EF6571" w:rsidRPr="00980466" w:rsidRDefault="00EF6571" w:rsidP="003B2A2B">
      <w:pPr>
        <w:pStyle w:val="Endnotentext"/>
        <w:spacing w:after="200" w:line="276" w:lineRule="auto"/>
        <w:rPr>
          <w:sz w:val="22"/>
          <w:szCs w:val="22"/>
          <w:lang w:val="it-CH"/>
        </w:rPr>
      </w:pPr>
      <w:r w:rsidRPr="003B2A2B">
        <w:rPr>
          <w:rStyle w:val="Endnotenzeichen"/>
          <w:sz w:val="22"/>
          <w:szCs w:val="22"/>
        </w:rPr>
        <w:endnoteRef/>
      </w:r>
      <w:r w:rsidRPr="00980466">
        <w:rPr>
          <w:sz w:val="22"/>
          <w:szCs w:val="22"/>
          <w:lang w:val="it-CH"/>
        </w:rPr>
        <w:t xml:space="preserve"> </w:t>
      </w:r>
      <w:r w:rsidR="00980466" w:rsidRPr="00980466">
        <w:rPr>
          <w:sz w:val="22"/>
          <w:szCs w:val="22"/>
          <w:lang w:val="it-CH"/>
        </w:rPr>
        <w:t>Art. 46 cpv. 4 ordinanza sulla segnaletica stradale (OSStr) del 5 settembre 1979 (RS</w:t>
      </w:r>
      <w:r w:rsidR="00980466">
        <w:rPr>
          <w:sz w:val="22"/>
          <w:szCs w:val="22"/>
          <w:lang w:val="it-CH"/>
        </w:rPr>
        <w:t> </w:t>
      </w:r>
      <w:r w:rsidR="00980466" w:rsidRPr="00980466">
        <w:rPr>
          <w:sz w:val="22"/>
          <w:szCs w:val="22"/>
          <w:lang w:val="it-CH"/>
        </w:rPr>
        <w:t>741.21)</w:t>
      </w:r>
    </w:p>
  </w:endnote>
  <w:endnote w:id="25">
    <w:p w:rsidR="00EF6571" w:rsidRPr="00980466" w:rsidRDefault="00EF6571" w:rsidP="003B2A2B">
      <w:pPr>
        <w:pStyle w:val="Endnotentext"/>
        <w:spacing w:after="200" w:line="276" w:lineRule="auto"/>
        <w:rPr>
          <w:sz w:val="22"/>
          <w:szCs w:val="22"/>
          <w:lang w:val="it-CH"/>
        </w:rPr>
      </w:pPr>
      <w:r w:rsidRPr="003B2A2B">
        <w:rPr>
          <w:rStyle w:val="Endnotenzeichen"/>
          <w:sz w:val="22"/>
          <w:szCs w:val="22"/>
        </w:rPr>
        <w:endnoteRef/>
      </w:r>
      <w:r w:rsidRPr="00980466">
        <w:rPr>
          <w:sz w:val="22"/>
          <w:szCs w:val="22"/>
          <w:lang w:val="it-CH"/>
        </w:rPr>
        <w:t xml:space="preserve"> </w:t>
      </w:r>
      <w:r w:rsidR="00980466" w:rsidRPr="00980466">
        <w:rPr>
          <w:sz w:val="22"/>
          <w:szCs w:val="22"/>
          <w:lang w:val="it-CH"/>
        </w:rPr>
        <w:t>Allegato 4 n. 221 cpv. 1 lett. c OPac.</w:t>
      </w:r>
    </w:p>
  </w:endnote>
  <w:endnote w:id="26">
    <w:p w:rsidR="00EF6571" w:rsidRPr="00980466" w:rsidRDefault="00EF6571" w:rsidP="003B2A2B">
      <w:pPr>
        <w:pStyle w:val="Endnotentext"/>
        <w:spacing w:after="200" w:line="276" w:lineRule="auto"/>
        <w:rPr>
          <w:sz w:val="22"/>
          <w:szCs w:val="22"/>
          <w:lang w:val="it-CH"/>
        </w:rPr>
      </w:pPr>
      <w:r w:rsidRPr="003B2A2B">
        <w:rPr>
          <w:rStyle w:val="Endnotenzeichen"/>
          <w:sz w:val="22"/>
          <w:szCs w:val="22"/>
        </w:rPr>
        <w:endnoteRef/>
      </w:r>
      <w:r w:rsidRPr="00980466">
        <w:rPr>
          <w:sz w:val="22"/>
          <w:szCs w:val="22"/>
          <w:lang w:val="it-CH"/>
        </w:rPr>
        <w:t xml:space="preserve"> </w:t>
      </w:r>
      <w:r w:rsidR="00980466" w:rsidRPr="00980466">
        <w:rPr>
          <w:sz w:val="22"/>
          <w:szCs w:val="22"/>
          <w:lang w:val="it-CH"/>
        </w:rPr>
        <w:t>Art. 22 LPAc, art. 32a e allegato 4 n. 221 cpv. 1 lit. e–i OPAc, nonché disposizione transitoria concernente la modifica dell'OPAc del 18 ottobre 2006.</w:t>
      </w:r>
    </w:p>
  </w:endnote>
  <w:endnote w:id="27">
    <w:p w:rsidR="00EF6571" w:rsidRPr="00980466" w:rsidRDefault="00EF6571" w:rsidP="003B2A2B">
      <w:pPr>
        <w:pStyle w:val="Endnotentext"/>
        <w:spacing w:after="200" w:line="276" w:lineRule="auto"/>
        <w:rPr>
          <w:sz w:val="22"/>
          <w:szCs w:val="22"/>
          <w:lang w:val="it-CH"/>
        </w:rPr>
      </w:pPr>
      <w:r w:rsidRPr="003B2A2B">
        <w:rPr>
          <w:rStyle w:val="Endnotenzeichen"/>
          <w:sz w:val="22"/>
          <w:szCs w:val="22"/>
        </w:rPr>
        <w:endnoteRef/>
      </w:r>
      <w:r w:rsidRPr="00980466">
        <w:rPr>
          <w:sz w:val="22"/>
          <w:szCs w:val="22"/>
          <w:lang w:val="it-CH"/>
        </w:rPr>
        <w:t xml:space="preserve"> </w:t>
      </w:r>
      <w:r w:rsidR="00980466" w:rsidRPr="00980466">
        <w:rPr>
          <w:sz w:val="22"/>
          <w:szCs w:val="22"/>
          <w:lang w:val="it-CH"/>
        </w:rPr>
        <w:t>Allegato 4 n. 221 cpv. 1 lett. h OPac.</w:t>
      </w:r>
    </w:p>
  </w:endnote>
  <w:endnote w:id="28">
    <w:p w:rsidR="00EF6571" w:rsidRPr="00980466" w:rsidRDefault="00EF6571" w:rsidP="003B2A2B">
      <w:pPr>
        <w:pStyle w:val="Endnotentext"/>
        <w:spacing w:after="200" w:line="276" w:lineRule="auto"/>
        <w:rPr>
          <w:sz w:val="22"/>
          <w:szCs w:val="22"/>
          <w:lang w:val="it-CH"/>
        </w:rPr>
      </w:pPr>
      <w:r w:rsidRPr="003B2A2B">
        <w:rPr>
          <w:rStyle w:val="Endnotenzeichen"/>
          <w:sz w:val="22"/>
          <w:szCs w:val="22"/>
        </w:rPr>
        <w:endnoteRef/>
      </w:r>
      <w:r w:rsidRPr="00980466">
        <w:rPr>
          <w:sz w:val="22"/>
          <w:szCs w:val="22"/>
          <w:lang w:val="it-CH"/>
        </w:rPr>
        <w:t xml:space="preserve"> </w:t>
      </w:r>
      <w:r w:rsidR="00980466" w:rsidRPr="00980466">
        <w:rPr>
          <w:sz w:val="22"/>
          <w:szCs w:val="22"/>
          <w:lang w:val="it-CH"/>
        </w:rPr>
        <w:t>Allegato 4 n. 221 cpv. 1 lett. f OPac.</w:t>
      </w:r>
    </w:p>
  </w:endnote>
  <w:endnote w:id="29">
    <w:p w:rsidR="00EF6571" w:rsidRPr="00980466" w:rsidRDefault="00EF6571" w:rsidP="003B2A2B">
      <w:pPr>
        <w:pStyle w:val="Endnotentext"/>
        <w:spacing w:after="200" w:line="276" w:lineRule="auto"/>
        <w:rPr>
          <w:sz w:val="22"/>
          <w:szCs w:val="22"/>
          <w:lang w:val="it-CH"/>
        </w:rPr>
      </w:pPr>
      <w:r w:rsidRPr="003B2A2B">
        <w:rPr>
          <w:rStyle w:val="Endnotenzeichen"/>
          <w:sz w:val="22"/>
          <w:szCs w:val="22"/>
        </w:rPr>
        <w:endnoteRef/>
      </w:r>
      <w:r w:rsidRPr="00980466">
        <w:rPr>
          <w:sz w:val="22"/>
          <w:szCs w:val="22"/>
          <w:lang w:val="it-CH"/>
        </w:rPr>
        <w:t xml:space="preserve"> </w:t>
      </w:r>
      <w:r w:rsidR="00980466" w:rsidRPr="00980466">
        <w:rPr>
          <w:sz w:val="22"/>
          <w:szCs w:val="22"/>
          <w:lang w:val="it-CH"/>
        </w:rPr>
        <w:t>Allegato 4 n. 221 cpv. 1 lett. d OPac.</w:t>
      </w:r>
    </w:p>
  </w:endnote>
  <w:endnote w:id="30">
    <w:p w:rsidR="00EF6571" w:rsidRPr="00980466" w:rsidRDefault="00EF6571" w:rsidP="003B2A2B">
      <w:pPr>
        <w:pStyle w:val="Endnotentext"/>
        <w:spacing w:after="200" w:line="276" w:lineRule="auto"/>
        <w:rPr>
          <w:sz w:val="22"/>
          <w:szCs w:val="22"/>
          <w:lang w:val="it-CH"/>
        </w:rPr>
      </w:pPr>
      <w:r w:rsidRPr="003B2A2B">
        <w:rPr>
          <w:rStyle w:val="Endnotenzeichen"/>
          <w:sz w:val="22"/>
          <w:szCs w:val="22"/>
        </w:rPr>
        <w:endnoteRef/>
      </w:r>
      <w:r w:rsidRPr="00980466">
        <w:rPr>
          <w:sz w:val="22"/>
          <w:szCs w:val="22"/>
          <w:lang w:val="it-CH"/>
        </w:rPr>
        <w:t xml:space="preserve"> </w:t>
      </w:r>
      <w:r w:rsidR="00980466" w:rsidRPr="00980466">
        <w:rPr>
          <w:sz w:val="22"/>
          <w:szCs w:val="22"/>
          <w:lang w:val="it-CH"/>
        </w:rPr>
        <w:t>Art. 44 cpv. 2 lett. a LPAc.</w:t>
      </w:r>
    </w:p>
  </w:endnote>
  <w:endnote w:id="31">
    <w:p w:rsidR="00EF6571" w:rsidRPr="00980466" w:rsidRDefault="00EF6571" w:rsidP="003B2A2B">
      <w:pPr>
        <w:pStyle w:val="Endnotentext"/>
        <w:spacing w:after="200" w:line="276" w:lineRule="auto"/>
        <w:rPr>
          <w:sz w:val="22"/>
          <w:szCs w:val="22"/>
          <w:lang w:val="it-CH"/>
        </w:rPr>
      </w:pPr>
      <w:r w:rsidRPr="003B2A2B">
        <w:rPr>
          <w:rStyle w:val="Endnotenzeichen"/>
          <w:sz w:val="22"/>
          <w:szCs w:val="22"/>
        </w:rPr>
        <w:endnoteRef/>
      </w:r>
      <w:r w:rsidRPr="00980466">
        <w:rPr>
          <w:sz w:val="22"/>
          <w:szCs w:val="22"/>
          <w:lang w:val="it-CH"/>
        </w:rPr>
        <w:t xml:space="preserve"> </w:t>
      </w:r>
      <w:r w:rsidR="00980466" w:rsidRPr="00517580">
        <w:rPr>
          <w:sz w:val="22"/>
          <w:szCs w:val="22"/>
          <w:highlight w:val="yellow"/>
          <w:lang w:val="it-CH"/>
        </w:rPr>
        <w:t>Art. 36 e allegato 2 n. 1.1.1 OPSR</w:t>
      </w:r>
      <w:r w:rsidR="00980466" w:rsidRPr="00980466">
        <w:rPr>
          <w:sz w:val="22"/>
          <w:szCs w:val="22"/>
          <w:lang w:val="it-CH"/>
        </w:rPr>
        <w:t>.</w:t>
      </w:r>
    </w:p>
  </w:endnote>
  <w:endnote w:id="32">
    <w:p w:rsidR="00EF6571" w:rsidRPr="00980466" w:rsidRDefault="00EF6571" w:rsidP="003B2A2B">
      <w:pPr>
        <w:pStyle w:val="Endnotentext"/>
        <w:spacing w:after="200" w:line="276" w:lineRule="auto"/>
        <w:rPr>
          <w:sz w:val="22"/>
          <w:szCs w:val="22"/>
          <w:lang w:val="it-CH"/>
        </w:rPr>
      </w:pPr>
      <w:r w:rsidRPr="003B2A2B">
        <w:rPr>
          <w:rStyle w:val="Endnotenzeichen"/>
          <w:sz w:val="22"/>
          <w:szCs w:val="22"/>
        </w:rPr>
        <w:endnoteRef/>
      </w:r>
      <w:r w:rsidRPr="00980466">
        <w:rPr>
          <w:sz w:val="22"/>
          <w:szCs w:val="22"/>
          <w:lang w:val="it-CH"/>
        </w:rPr>
        <w:t xml:space="preserve"> </w:t>
      </w:r>
      <w:r w:rsidR="00980466" w:rsidRPr="00980466">
        <w:rPr>
          <w:sz w:val="22"/>
          <w:szCs w:val="22"/>
          <w:lang w:val="it-CH"/>
        </w:rPr>
        <w:t>Art. 25 cpv. 2 e allegato 7 n. 11 OESA.</w:t>
      </w:r>
    </w:p>
  </w:endnote>
  <w:endnote w:id="33">
    <w:p w:rsidR="00EF6571" w:rsidRPr="003B2A2B" w:rsidRDefault="00EF6571" w:rsidP="003B2A2B">
      <w:pPr>
        <w:pStyle w:val="Endnotentext"/>
        <w:spacing w:after="200" w:line="276" w:lineRule="auto"/>
        <w:rPr>
          <w:sz w:val="22"/>
          <w:szCs w:val="22"/>
        </w:rPr>
      </w:pPr>
      <w:r w:rsidRPr="003B2A2B">
        <w:rPr>
          <w:rStyle w:val="Endnotenzeichen"/>
          <w:sz w:val="22"/>
          <w:szCs w:val="22"/>
        </w:rPr>
        <w:endnoteRef/>
      </w:r>
      <w:r w:rsidRPr="003B2A2B">
        <w:rPr>
          <w:sz w:val="22"/>
          <w:szCs w:val="22"/>
        </w:rPr>
        <w:t xml:space="preserve"> </w:t>
      </w:r>
      <w:r w:rsidR="00980466" w:rsidRPr="00980466">
        <w:rPr>
          <w:sz w:val="22"/>
          <w:szCs w:val="22"/>
        </w:rPr>
        <w:t>Allegato 2.4 n. 1.4 cpv. 2 ORRPChim.</w:t>
      </w:r>
    </w:p>
  </w:endnote>
  <w:endnote w:id="34">
    <w:p w:rsidR="00EF6571" w:rsidRPr="003B2A2B" w:rsidRDefault="00EF6571" w:rsidP="003B2A2B">
      <w:pPr>
        <w:pStyle w:val="Endnotentext"/>
        <w:spacing w:after="200" w:line="276" w:lineRule="auto"/>
        <w:rPr>
          <w:sz w:val="22"/>
          <w:szCs w:val="22"/>
        </w:rPr>
      </w:pPr>
      <w:r w:rsidRPr="003B2A2B">
        <w:rPr>
          <w:rStyle w:val="Endnotenzeichen"/>
          <w:sz w:val="22"/>
          <w:szCs w:val="22"/>
        </w:rPr>
        <w:endnoteRef/>
      </w:r>
      <w:r w:rsidRPr="003B2A2B">
        <w:rPr>
          <w:sz w:val="22"/>
          <w:szCs w:val="22"/>
        </w:rPr>
        <w:t xml:space="preserve"> </w:t>
      </w:r>
      <w:r w:rsidR="00980466" w:rsidRPr="00517580">
        <w:rPr>
          <w:i/>
          <w:sz w:val="22"/>
          <w:szCs w:val="22"/>
          <w:highlight w:val="yellow"/>
        </w:rPr>
        <w:t>Grundlagen für die Düngung landwirtschaftlicher Kulturen in der Schweiz (GRUD 2017)</w:t>
      </w:r>
      <w:r w:rsidR="00980466" w:rsidRPr="00517580">
        <w:rPr>
          <w:sz w:val="22"/>
          <w:szCs w:val="22"/>
          <w:highlight w:val="yellow"/>
        </w:rPr>
        <w:t>, Forschungsanstalt Agroscope</w:t>
      </w:r>
      <w:r w:rsidR="00980466" w:rsidRPr="00980466">
        <w:rPr>
          <w:sz w:val="22"/>
          <w:szCs w:val="22"/>
        </w:rPr>
        <w:t>.</w:t>
      </w:r>
    </w:p>
  </w:endnote>
  <w:endnote w:id="35">
    <w:p w:rsidR="00EF6571" w:rsidRPr="003B2A2B" w:rsidRDefault="00EF6571" w:rsidP="003B2A2B">
      <w:pPr>
        <w:pStyle w:val="Endnotentext"/>
        <w:spacing w:after="200" w:line="276" w:lineRule="auto"/>
        <w:rPr>
          <w:sz w:val="22"/>
          <w:szCs w:val="22"/>
        </w:rPr>
      </w:pPr>
      <w:r w:rsidRPr="003B2A2B">
        <w:rPr>
          <w:rStyle w:val="Endnotenzeichen"/>
          <w:sz w:val="22"/>
          <w:szCs w:val="22"/>
        </w:rPr>
        <w:endnoteRef/>
      </w:r>
      <w:r w:rsidRPr="003B2A2B">
        <w:rPr>
          <w:sz w:val="22"/>
          <w:szCs w:val="22"/>
        </w:rPr>
        <w:t xml:space="preserve"> </w:t>
      </w:r>
      <w:r w:rsidR="00980466" w:rsidRPr="00980466">
        <w:rPr>
          <w:sz w:val="22"/>
          <w:szCs w:val="22"/>
        </w:rPr>
        <w:t>Allegato 2.6 n. 3 ORRPChim.</w:t>
      </w:r>
    </w:p>
  </w:endnote>
  <w:endnote w:id="36">
    <w:p w:rsidR="00EF6571" w:rsidRPr="003B2A2B" w:rsidRDefault="00EF6571" w:rsidP="003B2A2B">
      <w:pPr>
        <w:pStyle w:val="Endnotentext"/>
        <w:spacing w:after="200" w:line="276" w:lineRule="auto"/>
        <w:rPr>
          <w:sz w:val="22"/>
          <w:szCs w:val="22"/>
        </w:rPr>
      </w:pPr>
      <w:r w:rsidRPr="003B2A2B">
        <w:rPr>
          <w:rStyle w:val="Endnotenzeichen"/>
          <w:sz w:val="22"/>
          <w:szCs w:val="22"/>
        </w:rPr>
        <w:endnoteRef/>
      </w:r>
      <w:r w:rsidRPr="003B2A2B">
        <w:rPr>
          <w:sz w:val="22"/>
          <w:szCs w:val="22"/>
        </w:rPr>
        <w:t xml:space="preserve"> </w:t>
      </w:r>
      <w:r w:rsidR="00CD3577" w:rsidRPr="00CD3577">
        <w:rPr>
          <w:i/>
          <w:sz w:val="22"/>
          <w:szCs w:val="22"/>
        </w:rPr>
        <w:t>Nährstoffe und Verwendung von Düngern in der Landwirtschaft</w:t>
      </w:r>
      <w:r w:rsidR="00CD3577" w:rsidRPr="00CD3577">
        <w:rPr>
          <w:sz w:val="22"/>
          <w:szCs w:val="22"/>
        </w:rPr>
        <w:t>, UFAM e UFAG, 2012.</w:t>
      </w:r>
    </w:p>
  </w:endnote>
  <w:endnote w:id="37">
    <w:p w:rsidR="00EF6571" w:rsidRPr="003B2A2B" w:rsidRDefault="00EF6571" w:rsidP="003B2A2B">
      <w:pPr>
        <w:pStyle w:val="Endnotentext"/>
        <w:spacing w:after="200" w:line="276" w:lineRule="auto"/>
        <w:rPr>
          <w:sz w:val="22"/>
          <w:szCs w:val="22"/>
        </w:rPr>
      </w:pPr>
      <w:r w:rsidRPr="003B2A2B">
        <w:rPr>
          <w:rStyle w:val="Endnotenzeichen"/>
          <w:sz w:val="22"/>
          <w:szCs w:val="22"/>
        </w:rPr>
        <w:endnoteRef/>
      </w:r>
      <w:r w:rsidRPr="003B2A2B">
        <w:rPr>
          <w:sz w:val="22"/>
          <w:szCs w:val="22"/>
        </w:rPr>
        <w:t xml:space="preserve"> </w:t>
      </w:r>
      <w:r w:rsidR="00CD3577" w:rsidRPr="00CD3577">
        <w:rPr>
          <w:sz w:val="22"/>
          <w:szCs w:val="22"/>
        </w:rPr>
        <w:t>In particolare art. 28 LPAmb, art. 70–72 OPChim, allegato 2.5 ORRPChim, art. 61 e 63 OPF.</w:t>
      </w:r>
    </w:p>
  </w:endnote>
  <w:endnote w:id="38">
    <w:p w:rsidR="00EF6571" w:rsidRPr="003B2A2B" w:rsidRDefault="00EF6571" w:rsidP="003B2A2B">
      <w:pPr>
        <w:pStyle w:val="Endnotentext"/>
        <w:spacing w:after="200" w:line="276" w:lineRule="auto"/>
        <w:rPr>
          <w:sz w:val="22"/>
          <w:szCs w:val="22"/>
        </w:rPr>
      </w:pPr>
      <w:r w:rsidRPr="003B2A2B">
        <w:rPr>
          <w:rStyle w:val="Endnotenzeichen"/>
          <w:sz w:val="22"/>
          <w:szCs w:val="22"/>
        </w:rPr>
        <w:endnoteRef/>
      </w:r>
      <w:r w:rsidRPr="003B2A2B">
        <w:rPr>
          <w:sz w:val="22"/>
          <w:szCs w:val="22"/>
        </w:rPr>
        <w:t xml:space="preserve"> </w:t>
      </w:r>
      <w:r w:rsidR="00CD3577" w:rsidRPr="00CD3577">
        <w:rPr>
          <w:sz w:val="22"/>
          <w:szCs w:val="22"/>
        </w:rPr>
        <w:t>In particolare art. 28 LPAmb, art. 70–72 OPChim, allegato 2.4 n. 1.4 cpv. 2 ORRPChim.</w:t>
      </w:r>
    </w:p>
  </w:endnote>
  <w:endnote w:id="39">
    <w:p w:rsidR="00EF6571" w:rsidRPr="003B2A2B" w:rsidRDefault="00EF6571" w:rsidP="003B2A2B">
      <w:pPr>
        <w:pStyle w:val="Endnotentext"/>
        <w:spacing w:after="200" w:line="276" w:lineRule="auto"/>
        <w:rPr>
          <w:sz w:val="22"/>
          <w:szCs w:val="22"/>
        </w:rPr>
      </w:pPr>
      <w:r w:rsidRPr="003B2A2B">
        <w:rPr>
          <w:rStyle w:val="Endnotenzeichen"/>
          <w:sz w:val="22"/>
          <w:szCs w:val="22"/>
        </w:rPr>
        <w:endnoteRef/>
      </w:r>
      <w:r w:rsidRPr="003B2A2B">
        <w:rPr>
          <w:sz w:val="22"/>
          <w:szCs w:val="22"/>
        </w:rPr>
        <w:t xml:space="preserve"> </w:t>
      </w:r>
      <w:r w:rsidR="00CD3577" w:rsidRPr="00CD3577">
        <w:rPr>
          <w:sz w:val="22"/>
          <w:szCs w:val="22"/>
        </w:rPr>
        <w:t>In particolare art. 28 cpv. 2 LPAmb, art. 8 LPChim, art. 70 cpv. 2 e art. 71 OPChim.</w:t>
      </w:r>
    </w:p>
  </w:endnote>
  <w:endnote w:id="40">
    <w:p w:rsidR="00EF6571" w:rsidRPr="00CD3577" w:rsidRDefault="00EF6571" w:rsidP="003B2A2B">
      <w:pPr>
        <w:pStyle w:val="Endnotentext"/>
        <w:spacing w:after="200" w:line="276" w:lineRule="auto"/>
        <w:rPr>
          <w:sz w:val="22"/>
          <w:szCs w:val="22"/>
          <w:lang w:val="it-CH"/>
        </w:rPr>
      </w:pPr>
      <w:r w:rsidRPr="003B2A2B">
        <w:rPr>
          <w:rStyle w:val="Endnotenzeichen"/>
          <w:sz w:val="22"/>
          <w:szCs w:val="22"/>
        </w:rPr>
        <w:endnoteRef/>
      </w:r>
      <w:r w:rsidRPr="00CD3577">
        <w:rPr>
          <w:sz w:val="22"/>
          <w:szCs w:val="22"/>
          <w:lang w:val="it-CH"/>
        </w:rPr>
        <w:t xml:space="preserve"> </w:t>
      </w:r>
      <w:r w:rsidR="00CD3577" w:rsidRPr="00CD3577">
        <w:rPr>
          <w:sz w:val="22"/>
          <w:szCs w:val="22"/>
          <w:lang w:val="it-CH"/>
        </w:rPr>
        <w:t>Allegato 4 n. 222 cpv. 1 OPac.</w:t>
      </w:r>
    </w:p>
  </w:endnote>
  <w:endnote w:id="41">
    <w:p w:rsidR="00EF6571" w:rsidRPr="00CD3577" w:rsidRDefault="00EF6571" w:rsidP="003B2A2B">
      <w:pPr>
        <w:pStyle w:val="Endnotentext"/>
        <w:spacing w:after="200" w:line="276" w:lineRule="auto"/>
        <w:rPr>
          <w:sz w:val="22"/>
          <w:szCs w:val="22"/>
          <w:lang w:val="it-CH"/>
        </w:rPr>
      </w:pPr>
      <w:r w:rsidRPr="003B2A2B">
        <w:rPr>
          <w:rStyle w:val="Endnotenzeichen"/>
          <w:sz w:val="22"/>
          <w:szCs w:val="22"/>
        </w:rPr>
        <w:endnoteRef/>
      </w:r>
      <w:r w:rsidRPr="00CD3577">
        <w:rPr>
          <w:sz w:val="22"/>
          <w:szCs w:val="22"/>
          <w:lang w:val="it-CH"/>
        </w:rPr>
        <w:t xml:space="preserve"> </w:t>
      </w:r>
      <w:r w:rsidR="00CD3577" w:rsidRPr="00CD3577">
        <w:rPr>
          <w:sz w:val="22"/>
          <w:szCs w:val="22"/>
          <w:lang w:val="it-CH"/>
        </w:rPr>
        <w:t>Allegato 4 n. 222 cpv. 1 lett. c OPac</w:t>
      </w:r>
    </w:p>
  </w:endnote>
  <w:endnote w:id="42">
    <w:p w:rsidR="00EF6571" w:rsidRPr="005C1468" w:rsidRDefault="00EF6571" w:rsidP="003B2A2B">
      <w:pPr>
        <w:pStyle w:val="Endnotentext"/>
        <w:spacing w:after="200" w:line="276" w:lineRule="auto"/>
        <w:rPr>
          <w:sz w:val="22"/>
          <w:szCs w:val="22"/>
          <w:lang w:val="it-CH"/>
        </w:rPr>
      </w:pPr>
      <w:r w:rsidRPr="003B2A2B">
        <w:rPr>
          <w:rStyle w:val="Endnotenzeichen"/>
          <w:sz w:val="22"/>
          <w:szCs w:val="22"/>
        </w:rPr>
        <w:endnoteRef/>
      </w:r>
      <w:r w:rsidRPr="005C1468">
        <w:rPr>
          <w:sz w:val="22"/>
          <w:szCs w:val="22"/>
          <w:lang w:val="it-CH"/>
        </w:rPr>
        <w:t xml:space="preserve"> </w:t>
      </w:r>
      <w:r w:rsidR="005C1468" w:rsidRPr="005C1468">
        <w:rPr>
          <w:i/>
          <w:sz w:val="22"/>
          <w:szCs w:val="22"/>
          <w:lang w:val="it-CH"/>
        </w:rPr>
        <w:t>Protezione delle acque nello smaltimento delle acque di scarico delle vie di comunicazione</w:t>
      </w:r>
      <w:r w:rsidR="005C1468" w:rsidRPr="005C1468">
        <w:rPr>
          <w:sz w:val="22"/>
          <w:szCs w:val="22"/>
          <w:lang w:val="it-CH"/>
        </w:rPr>
        <w:t>, UFAFP, 2002.</w:t>
      </w:r>
    </w:p>
  </w:endnote>
  <w:endnote w:id="43">
    <w:p w:rsidR="00EF6571" w:rsidRPr="005C1468" w:rsidRDefault="00EF6571" w:rsidP="003B2A2B">
      <w:pPr>
        <w:pStyle w:val="Endnotentext"/>
        <w:spacing w:after="200" w:line="276" w:lineRule="auto"/>
        <w:rPr>
          <w:sz w:val="22"/>
          <w:szCs w:val="22"/>
          <w:lang w:val="it-CH"/>
        </w:rPr>
      </w:pPr>
      <w:r w:rsidRPr="003B2A2B">
        <w:rPr>
          <w:rStyle w:val="Endnotenzeichen"/>
          <w:sz w:val="22"/>
          <w:szCs w:val="22"/>
        </w:rPr>
        <w:endnoteRef/>
      </w:r>
      <w:r w:rsidRPr="005C1468">
        <w:rPr>
          <w:sz w:val="22"/>
          <w:szCs w:val="22"/>
          <w:lang w:val="it-CH"/>
        </w:rPr>
        <w:t xml:space="preserve"> </w:t>
      </w:r>
      <w:r w:rsidR="005C1468" w:rsidRPr="005C1468">
        <w:rPr>
          <w:sz w:val="22"/>
          <w:szCs w:val="22"/>
          <w:lang w:val="it-CH"/>
        </w:rPr>
        <w:t>Allegato 2.6 n. 3.3.1 cpv. 2 ORRPChim. L'allegato 2.6 n. 3.3.2 cpv. 1 ORRPChim prevede un'eccezione a questo divieto. Eccezioni possono essere concesse solo in casi estremamente rari, dopo approfonditi esami. Se si mira a un'eccezione, si deve dapprima chiarire con l'UNA se questa entri di principio in questione.</w:t>
      </w:r>
    </w:p>
  </w:endnote>
  <w:endnote w:id="44">
    <w:p w:rsidR="00EF6571" w:rsidRPr="005C1468" w:rsidRDefault="00EF6571" w:rsidP="003B2A2B">
      <w:pPr>
        <w:pStyle w:val="Endnotentext"/>
        <w:spacing w:after="200" w:line="276" w:lineRule="auto"/>
        <w:rPr>
          <w:sz w:val="22"/>
          <w:szCs w:val="22"/>
          <w:lang w:val="it-CH"/>
        </w:rPr>
      </w:pPr>
      <w:r w:rsidRPr="003B2A2B">
        <w:rPr>
          <w:rStyle w:val="Endnotenzeichen"/>
          <w:sz w:val="22"/>
          <w:szCs w:val="22"/>
        </w:rPr>
        <w:endnoteRef/>
      </w:r>
      <w:r w:rsidRPr="005C1468">
        <w:rPr>
          <w:sz w:val="22"/>
          <w:szCs w:val="22"/>
          <w:lang w:val="it-CH"/>
        </w:rPr>
        <w:t xml:space="preserve"> </w:t>
      </w:r>
      <w:r w:rsidR="005C1468" w:rsidRPr="005C1468">
        <w:rPr>
          <w:sz w:val="22"/>
          <w:szCs w:val="22"/>
          <w:lang w:val="it-CH"/>
        </w:rPr>
        <w:t>Allegato 2.5 n. 1.1 cpv. 1 lett. g ORRPChim.</w:t>
      </w:r>
    </w:p>
  </w:endnote>
  <w:endnote w:id="45">
    <w:p w:rsidR="00EF6571" w:rsidRPr="005C1468" w:rsidRDefault="00EF6571" w:rsidP="003B2A2B">
      <w:pPr>
        <w:pStyle w:val="Endnotentext"/>
        <w:spacing w:after="200" w:line="276" w:lineRule="auto"/>
        <w:rPr>
          <w:sz w:val="22"/>
          <w:szCs w:val="22"/>
          <w:lang w:val="it-CH"/>
        </w:rPr>
      </w:pPr>
      <w:r w:rsidRPr="003B2A2B">
        <w:rPr>
          <w:rStyle w:val="Endnotenzeichen"/>
          <w:sz w:val="22"/>
          <w:szCs w:val="22"/>
        </w:rPr>
        <w:endnoteRef/>
      </w:r>
      <w:r w:rsidRPr="005C1468">
        <w:rPr>
          <w:sz w:val="22"/>
          <w:szCs w:val="22"/>
          <w:lang w:val="it-CH"/>
        </w:rPr>
        <w:t xml:space="preserve"> </w:t>
      </w:r>
      <w:r w:rsidR="005C1468" w:rsidRPr="005C1468">
        <w:rPr>
          <w:sz w:val="22"/>
          <w:szCs w:val="22"/>
          <w:lang w:val="it-CH"/>
        </w:rPr>
        <w:t xml:space="preserve">Art. 68 cpv. 1 e 3 OPF. </w:t>
      </w:r>
      <w:r w:rsidR="005C1468" w:rsidRPr="00517580">
        <w:rPr>
          <w:sz w:val="22"/>
          <w:szCs w:val="22"/>
          <w:highlight w:val="yellow"/>
          <w:lang w:val="it-CH"/>
        </w:rPr>
        <w:t>L'elenco attuale "Divieto d'impiego di prodotti fitosanitari nella zona di protezione delle acque sotterranee S2 rispettivamente S2 e Sh " si trova sul sito internet dell'UFAG (www.blw.admin.ch).</w:t>
      </w:r>
    </w:p>
  </w:endnote>
  <w:endnote w:id="46">
    <w:p w:rsidR="00EF6571" w:rsidRPr="005C1468" w:rsidRDefault="00EF6571" w:rsidP="003B2A2B">
      <w:pPr>
        <w:pStyle w:val="Endnotentext"/>
        <w:spacing w:after="200" w:line="276" w:lineRule="auto"/>
        <w:rPr>
          <w:sz w:val="22"/>
          <w:szCs w:val="22"/>
          <w:lang w:val="it-CH"/>
        </w:rPr>
      </w:pPr>
      <w:r w:rsidRPr="003B2A2B">
        <w:rPr>
          <w:rStyle w:val="Endnotenzeichen"/>
          <w:sz w:val="22"/>
          <w:szCs w:val="22"/>
        </w:rPr>
        <w:endnoteRef/>
      </w:r>
      <w:r w:rsidRPr="005C1468">
        <w:rPr>
          <w:sz w:val="22"/>
          <w:szCs w:val="22"/>
          <w:lang w:val="it-CH"/>
        </w:rPr>
        <w:t xml:space="preserve"> </w:t>
      </w:r>
      <w:r w:rsidR="005C1468" w:rsidRPr="005C1468">
        <w:rPr>
          <w:sz w:val="22"/>
          <w:szCs w:val="22"/>
          <w:lang w:val="it-CH"/>
        </w:rPr>
        <w:t>Allegato 2.4 n. 1.4 cpv. 1 ORRPChim.</w:t>
      </w:r>
    </w:p>
  </w:endnote>
  <w:endnote w:id="47">
    <w:p w:rsidR="00EF6571" w:rsidRPr="005C1468" w:rsidRDefault="00EF6571" w:rsidP="003B2A2B">
      <w:pPr>
        <w:pStyle w:val="Endnotentext"/>
        <w:spacing w:after="200" w:line="276" w:lineRule="auto"/>
        <w:rPr>
          <w:sz w:val="22"/>
          <w:szCs w:val="22"/>
          <w:lang w:val="it-CH"/>
        </w:rPr>
      </w:pPr>
      <w:r w:rsidRPr="003B2A2B">
        <w:rPr>
          <w:rStyle w:val="Endnotenzeichen"/>
          <w:sz w:val="22"/>
          <w:szCs w:val="22"/>
        </w:rPr>
        <w:endnoteRef/>
      </w:r>
      <w:r w:rsidRPr="005C1468">
        <w:rPr>
          <w:sz w:val="22"/>
          <w:szCs w:val="22"/>
          <w:lang w:val="it-CH"/>
        </w:rPr>
        <w:t xml:space="preserve"> </w:t>
      </w:r>
      <w:r w:rsidR="005C1468" w:rsidRPr="005C1468">
        <w:rPr>
          <w:sz w:val="22"/>
          <w:szCs w:val="22"/>
          <w:lang w:val="it-CH"/>
        </w:rPr>
        <w:t>Allegato 4 n. 222 cpv. 1 lett. b OPac.</w:t>
      </w:r>
    </w:p>
  </w:endnote>
  <w:endnote w:id="48">
    <w:p w:rsidR="00EF6571" w:rsidRPr="005C1468" w:rsidRDefault="00EF6571" w:rsidP="003B2A2B">
      <w:pPr>
        <w:pStyle w:val="Endnotentext"/>
        <w:spacing w:after="200" w:line="276" w:lineRule="auto"/>
        <w:rPr>
          <w:sz w:val="22"/>
          <w:szCs w:val="22"/>
          <w:lang w:val="it-CH"/>
        </w:rPr>
      </w:pPr>
      <w:r w:rsidRPr="003B2A2B">
        <w:rPr>
          <w:rStyle w:val="Endnotenzeichen"/>
          <w:sz w:val="22"/>
          <w:szCs w:val="22"/>
        </w:rPr>
        <w:endnoteRef/>
      </w:r>
      <w:r w:rsidRPr="005C1468">
        <w:rPr>
          <w:sz w:val="22"/>
          <w:szCs w:val="22"/>
          <w:lang w:val="it-CH"/>
        </w:rPr>
        <w:t xml:space="preserve"> </w:t>
      </w:r>
      <w:r w:rsidR="005C1468" w:rsidRPr="005C1468">
        <w:rPr>
          <w:sz w:val="22"/>
          <w:szCs w:val="22"/>
          <w:lang w:val="it-CH"/>
        </w:rPr>
        <w:t>Allegato 4 n. 222 cpv. 1 lett. d OPac.</w:t>
      </w:r>
    </w:p>
  </w:endnote>
  <w:endnote w:id="49">
    <w:p w:rsidR="00EF6571" w:rsidRPr="005C1468" w:rsidRDefault="00EF6571" w:rsidP="003B2A2B">
      <w:pPr>
        <w:pStyle w:val="Endnotentext"/>
        <w:spacing w:after="200" w:line="276" w:lineRule="auto"/>
        <w:rPr>
          <w:sz w:val="22"/>
          <w:szCs w:val="22"/>
          <w:lang w:val="it-CH"/>
        </w:rPr>
      </w:pPr>
      <w:r w:rsidRPr="003B2A2B">
        <w:rPr>
          <w:rStyle w:val="Endnotenzeichen"/>
          <w:sz w:val="22"/>
          <w:szCs w:val="22"/>
        </w:rPr>
        <w:endnoteRef/>
      </w:r>
      <w:r w:rsidRPr="005C1468">
        <w:rPr>
          <w:sz w:val="22"/>
          <w:szCs w:val="22"/>
          <w:lang w:val="it-CH"/>
        </w:rPr>
        <w:t xml:space="preserve"> </w:t>
      </w:r>
      <w:r w:rsidR="005C1468" w:rsidRPr="005C1468">
        <w:rPr>
          <w:sz w:val="22"/>
          <w:szCs w:val="22"/>
          <w:lang w:val="it-CH"/>
        </w:rPr>
        <w:t>Allegato 2.6 n. 3.3.1 cpv. 1 lett. e ORRPChim.</w:t>
      </w:r>
    </w:p>
  </w:endnote>
  <w:endnote w:id="50">
    <w:p w:rsidR="00EF6571" w:rsidRPr="005C1468" w:rsidRDefault="00EF6571" w:rsidP="003B2A2B">
      <w:pPr>
        <w:pStyle w:val="Endnotentext"/>
        <w:spacing w:after="200" w:line="276" w:lineRule="auto"/>
        <w:rPr>
          <w:sz w:val="22"/>
          <w:szCs w:val="22"/>
          <w:lang w:val="it-CH"/>
        </w:rPr>
      </w:pPr>
      <w:r w:rsidRPr="003B2A2B">
        <w:rPr>
          <w:rStyle w:val="Endnotenzeichen"/>
          <w:sz w:val="22"/>
          <w:szCs w:val="22"/>
        </w:rPr>
        <w:endnoteRef/>
      </w:r>
      <w:r w:rsidRPr="005C1468">
        <w:rPr>
          <w:sz w:val="22"/>
          <w:szCs w:val="22"/>
          <w:lang w:val="it-CH"/>
        </w:rPr>
        <w:t xml:space="preserve"> </w:t>
      </w:r>
      <w:r w:rsidR="005C1468" w:rsidRPr="005C1468">
        <w:rPr>
          <w:sz w:val="22"/>
          <w:szCs w:val="22"/>
          <w:lang w:val="it-CH"/>
        </w:rPr>
        <w:t>cfr. art. 70 cpv. 1 lett. a, b, g e cpv. 2 LPAc; art. 71 LPAc; art. 60 cpv. 1 lett. d, e, m e cpv. 2 LPAmb; art. 61 cpv. 1 lett. e, g e cpv. 2 e 3 LPAmb; art. 234 CP.</w:t>
      </w:r>
    </w:p>
  </w:endnote>
  <w:endnote w:id="51">
    <w:p w:rsidR="00EF6571" w:rsidRPr="005C1468" w:rsidRDefault="00EF6571" w:rsidP="003B2A2B">
      <w:pPr>
        <w:pStyle w:val="Endnotentext"/>
        <w:spacing w:after="200" w:line="276" w:lineRule="auto"/>
        <w:rPr>
          <w:sz w:val="22"/>
          <w:szCs w:val="22"/>
          <w:lang w:val="it-CH"/>
        </w:rPr>
      </w:pPr>
      <w:r w:rsidRPr="003B2A2B">
        <w:rPr>
          <w:rStyle w:val="Endnotenzeichen"/>
          <w:sz w:val="22"/>
          <w:szCs w:val="22"/>
        </w:rPr>
        <w:endnoteRef/>
      </w:r>
      <w:r w:rsidRPr="005C1468">
        <w:rPr>
          <w:sz w:val="22"/>
          <w:szCs w:val="22"/>
          <w:lang w:val="it-CH"/>
        </w:rPr>
        <w:t xml:space="preserve"> </w:t>
      </w:r>
      <w:r w:rsidR="005C1468" w:rsidRPr="005C1468">
        <w:rPr>
          <w:sz w:val="22"/>
          <w:szCs w:val="22"/>
          <w:lang w:val="it-CH"/>
        </w:rPr>
        <w:t>Art. 109 CP.</w:t>
      </w:r>
    </w:p>
  </w:endnote>
  <w:endnote w:id="52">
    <w:p w:rsidR="00EF6571" w:rsidRPr="005C1468" w:rsidRDefault="00EF6571" w:rsidP="003B2A2B">
      <w:pPr>
        <w:pStyle w:val="Endnotentext"/>
        <w:spacing w:after="200" w:line="276" w:lineRule="auto"/>
        <w:rPr>
          <w:sz w:val="22"/>
          <w:szCs w:val="22"/>
          <w:lang w:val="it-CH"/>
        </w:rPr>
      </w:pPr>
      <w:r w:rsidRPr="003B2A2B">
        <w:rPr>
          <w:rStyle w:val="Endnotenzeichen"/>
          <w:sz w:val="22"/>
          <w:szCs w:val="22"/>
        </w:rPr>
        <w:endnoteRef/>
      </w:r>
      <w:r w:rsidRPr="005C1468">
        <w:rPr>
          <w:sz w:val="22"/>
          <w:szCs w:val="22"/>
          <w:lang w:val="it-CH"/>
        </w:rPr>
        <w:t xml:space="preserve"> </w:t>
      </w:r>
      <w:r w:rsidR="005C1468" w:rsidRPr="005C1468">
        <w:rPr>
          <w:sz w:val="22"/>
          <w:szCs w:val="22"/>
          <w:lang w:val="it-CH"/>
        </w:rPr>
        <w:t>Art. 962 cpv. 1 Codice civile svizzero (CC) del 10 dicembre 1907 (RS 210).</w:t>
      </w:r>
    </w:p>
  </w:endnote>
  <w:endnote w:id="53">
    <w:p w:rsidR="00EF6571" w:rsidRPr="005C1468" w:rsidRDefault="00EF6571" w:rsidP="003B2A2B">
      <w:pPr>
        <w:pStyle w:val="Endnotentext"/>
        <w:spacing w:after="200" w:line="276" w:lineRule="auto"/>
        <w:rPr>
          <w:sz w:val="22"/>
          <w:szCs w:val="22"/>
          <w:lang w:val="it-CH"/>
        </w:rPr>
      </w:pPr>
      <w:r w:rsidRPr="003B2A2B">
        <w:rPr>
          <w:rStyle w:val="Endnotenzeichen"/>
          <w:sz w:val="22"/>
          <w:szCs w:val="22"/>
        </w:rPr>
        <w:endnoteRef/>
      </w:r>
      <w:r w:rsidRPr="003B2A2B">
        <w:rPr>
          <w:sz w:val="22"/>
          <w:szCs w:val="22"/>
        </w:rPr>
        <w:t xml:space="preserve"> </w:t>
      </w:r>
      <w:r w:rsidR="005C1468" w:rsidRPr="005C1468">
        <w:rPr>
          <w:sz w:val="22"/>
          <w:szCs w:val="22"/>
        </w:rPr>
        <w:t xml:space="preserve">Art. 20 cpv. 2 lett. c LPAc. </w:t>
      </w:r>
      <w:r w:rsidR="005C1468" w:rsidRPr="00517580">
        <w:rPr>
          <w:sz w:val="22"/>
          <w:szCs w:val="22"/>
          <w:highlight w:val="yellow"/>
          <w:lang w:val="it-CH"/>
        </w:rPr>
        <w:t>Come stabilito dall’attuale giurisprudenza, il proprietario di una captazione d'acqua sotterranea deve soltanto sopperire all’indennizzo per le limitazioni materiali del diritto di proprietà (vedi spiegazioni del modello di regolamento delle zone di protezione n. UNA-406-15i, 15 gennaio 2014).</w:t>
      </w:r>
    </w:p>
  </w:endnote>
  <w:endnote w:id="54">
    <w:p w:rsidR="00EF6571" w:rsidRPr="005C1468" w:rsidRDefault="00EF6571" w:rsidP="003B2A2B">
      <w:pPr>
        <w:pStyle w:val="Endnotentext"/>
        <w:spacing w:after="200" w:line="276" w:lineRule="auto"/>
        <w:rPr>
          <w:sz w:val="22"/>
          <w:szCs w:val="22"/>
          <w:lang w:val="it-CH"/>
        </w:rPr>
      </w:pPr>
      <w:r w:rsidRPr="003B2A2B">
        <w:rPr>
          <w:rStyle w:val="Endnotenzeichen"/>
          <w:sz w:val="22"/>
          <w:szCs w:val="22"/>
        </w:rPr>
        <w:endnoteRef/>
      </w:r>
      <w:r w:rsidRPr="005C1468">
        <w:rPr>
          <w:sz w:val="22"/>
          <w:szCs w:val="22"/>
          <w:lang w:val="it-CH"/>
        </w:rPr>
        <w:t xml:space="preserve"> </w:t>
      </w:r>
      <w:r w:rsidR="005C1468" w:rsidRPr="005C1468">
        <w:rPr>
          <w:sz w:val="22"/>
          <w:szCs w:val="22"/>
          <w:lang w:val="it-CH"/>
        </w:rPr>
        <w:t>Art. 26 cpv. 1 LCPAc con rimando alla legislazione cantonale sulla pianificazione territoriale (oggi art. 98 LPTC).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571" w:rsidRPr="00AA4694" w:rsidRDefault="00EF6571" w:rsidP="00AA4694">
    <w:pPr>
      <w:pStyle w:val="Fuzeile"/>
      <w:jc w:val="center"/>
      <w:rPr>
        <w:sz w:val="18"/>
      </w:rPr>
    </w:pPr>
    <w:r w:rsidRPr="00AA4694">
      <w:rPr>
        <w:sz w:val="18"/>
      </w:rPr>
      <w:fldChar w:fldCharType="begin"/>
    </w:r>
    <w:r w:rsidRPr="00AA4694">
      <w:rPr>
        <w:sz w:val="18"/>
      </w:rPr>
      <w:instrText>PAGE   \* MERGEFORMAT</w:instrText>
    </w:r>
    <w:r w:rsidRPr="00AA4694">
      <w:rPr>
        <w:sz w:val="18"/>
      </w:rPr>
      <w:fldChar w:fldCharType="separate"/>
    </w:r>
    <w:r w:rsidR="002B397C" w:rsidRPr="002B397C">
      <w:rPr>
        <w:noProof/>
        <w:sz w:val="18"/>
        <w:lang w:val="de-DE"/>
      </w:rPr>
      <w:t>1</w:t>
    </w:r>
    <w:r w:rsidRPr="00AA4694">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5D3" w:rsidRDefault="009925D3" w:rsidP="00202D5E">
      <w:pPr>
        <w:spacing w:after="0" w:line="240" w:lineRule="auto"/>
      </w:pPr>
      <w:r>
        <w:separator/>
      </w:r>
    </w:p>
  </w:footnote>
  <w:footnote w:type="continuationSeparator" w:id="0">
    <w:p w:rsidR="009925D3" w:rsidRDefault="009925D3" w:rsidP="00202D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1173A"/>
    <w:multiLevelType w:val="hybridMultilevel"/>
    <w:tmpl w:val="969EA08E"/>
    <w:lvl w:ilvl="0" w:tplc="ACC81D48">
      <w:start w:val="1"/>
      <w:numFmt w:val="decimal"/>
      <w:pStyle w:val="berschrift2"/>
      <w:lvlText w:val="2.%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5BC6776"/>
    <w:multiLevelType w:val="hybridMultilevel"/>
    <w:tmpl w:val="F8EAEA98"/>
    <w:lvl w:ilvl="0" w:tplc="9ADC6DBA">
      <w:start w:val="1"/>
      <w:numFmt w:val="decimal"/>
      <w:pStyle w:val="berschrift1"/>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CD475F8"/>
    <w:multiLevelType w:val="hybridMultilevel"/>
    <w:tmpl w:val="E0941B74"/>
    <w:lvl w:ilvl="0" w:tplc="C9344B40">
      <w:start w:val="1"/>
      <w:numFmt w:val="bullet"/>
      <w:pStyle w:val="AufzhlungStriche"/>
      <w:lvlText w:val=""/>
      <w:lvlJc w:val="left"/>
      <w:pPr>
        <w:ind w:left="1004" w:hanging="360"/>
      </w:pPr>
      <w:rPr>
        <w:rFonts w:ascii="Symbol" w:hAnsi="Symbo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3" w15:restartNumberingAfterBreak="0">
    <w:nsid w:val="71465508"/>
    <w:multiLevelType w:val="multilevel"/>
    <w:tmpl w:val="FC7475C2"/>
    <w:lvl w:ilvl="0">
      <w:start w:val="1"/>
      <w:numFmt w:val="upperRoman"/>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7C117821"/>
    <w:multiLevelType w:val="multilevel"/>
    <w:tmpl w:val="D2DCDF36"/>
    <w:lvl w:ilvl="0">
      <w:start w:val="1"/>
      <w:numFmt w:val="upperRoman"/>
      <w:lvlText w:val="Anhang %1"/>
      <w:lvlJc w:val="left"/>
      <w:pPr>
        <w:tabs>
          <w:tab w:val="num" w:pos="180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defaultTabStop w:val="709"/>
  <w:autoHyphenation/>
  <w:hyphenationZone w:val="14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D5E"/>
    <w:rsid w:val="00066F15"/>
    <w:rsid w:val="0015578B"/>
    <w:rsid w:val="001874B9"/>
    <w:rsid w:val="001E237D"/>
    <w:rsid w:val="001F3907"/>
    <w:rsid w:val="00202D5E"/>
    <w:rsid w:val="002B2957"/>
    <w:rsid w:val="002B397C"/>
    <w:rsid w:val="00316922"/>
    <w:rsid w:val="00361BF9"/>
    <w:rsid w:val="003643EC"/>
    <w:rsid w:val="00384F8D"/>
    <w:rsid w:val="003B2A2B"/>
    <w:rsid w:val="004E147E"/>
    <w:rsid w:val="00517580"/>
    <w:rsid w:val="005C1468"/>
    <w:rsid w:val="00602E9D"/>
    <w:rsid w:val="007F43A4"/>
    <w:rsid w:val="00980466"/>
    <w:rsid w:val="009925D3"/>
    <w:rsid w:val="00A256AD"/>
    <w:rsid w:val="00AA4694"/>
    <w:rsid w:val="00AD6866"/>
    <w:rsid w:val="00B933CD"/>
    <w:rsid w:val="00C10CBF"/>
    <w:rsid w:val="00CB137F"/>
    <w:rsid w:val="00CD2C80"/>
    <w:rsid w:val="00CD3577"/>
    <w:rsid w:val="00EF6571"/>
    <w:rsid w:val="00FB4C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330EA78-6C1D-47EC-A0A9-48CBA27B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2D5E"/>
    <w:rPr>
      <w:rFonts w:ascii="Arial" w:hAnsi="Arial"/>
    </w:rPr>
  </w:style>
  <w:style w:type="paragraph" w:styleId="berschrift1">
    <w:name w:val="heading 1"/>
    <w:basedOn w:val="Standard"/>
    <w:next w:val="Standard"/>
    <w:link w:val="berschrift1Zchn"/>
    <w:uiPriority w:val="9"/>
    <w:qFormat/>
    <w:rsid w:val="00AD6866"/>
    <w:pPr>
      <w:keepNext/>
      <w:keepLines/>
      <w:numPr>
        <w:numId w:val="2"/>
      </w:numPr>
      <w:spacing w:before="480" w:after="360"/>
      <w:outlineLvl w:val="0"/>
    </w:pPr>
    <w:rPr>
      <w:rFonts w:eastAsiaTheme="majorEastAsia" w:cstheme="majorBidi"/>
      <w:b/>
      <w:bCs/>
      <w:szCs w:val="28"/>
    </w:rPr>
  </w:style>
  <w:style w:type="paragraph" w:styleId="berschrift2">
    <w:name w:val="heading 2"/>
    <w:basedOn w:val="berschrift1"/>
    <w:next w:val="Standard"/>
    <w:link w:val="berschrift2Zchn"/>
    <w:uiPriority w:val="9"/>
    <w:unhideWhenUsed/>
    <w:qFormat/>
    <w:rsid w:val="00066F15"/>
    <w:pPr>
      <w:numPr>
        <w:numId w:val="4"/>
      </w:numPr>
      <w:spacing w:before="240" w:after="240"/>
      <w:ind w:left="357" w:hanging="357"/>
      <w:outlineLvl w:val="1"/>
    </w:pPr>
    <w:rPr>
      <w:bCs w:val="0"/>
      <w:szCs w:val="26"/>
    </w:rPr>
  </w:style>
  <w:style w:type="paragraph" w:styleId="berschrift3">
    <w:name w:val="heading 3"/>
    <w:basedOn w:val="berschrift2"/>
    <w:next w:val="berschrift2"/>
    <w:link w:val="berschrift3Zchn"/>
    <w:uiPriority w:val="4"/>
    <w:qFormat/>
    <w:rsid w:val="00FB4C18"/>
    <w:pPr>
      <w:numPr>
        <w:ilvl w:val="2"/>
        <w:numId w:val="1"/>
      </w:numPr>
      <w:outlineLvl w:val="2"/>
    </w:pPr>
    <w:rPr>
      <w:rFonts w:asciiTheme="minorHAnsi" w:hAnsiTheme="minorHAnsi"/>
      <w:b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4"/>
    <w:rsid w:val="00FB4C18"/>
    <w:rPr>
      <w:rFonts w:eastAsiaTheme="majorEastAsia" w:cstheme="majorBidi"/>
      <w:bCs/>
      <w:sz w:val="24"/>
      <w:szCs w:val="26"/>
    </w:rPr>
  </w:style>
  <w:style w:type="character" w:customStyle="1" w:styleId="berschrift2Zchn">
    <w:name w:val="Überschrift 2 Zchn"/>
    <w:basedOn w:val="Absatz-Standardschriftart"/>
    <w:link w:val="berschrift2"/>
    <w:uiPriority w:val="9"/>
    <w:rsid w:val="00066F15"/>
    <w:rPr>
      <w:rFonts w:ascii="Arial" w:eastAsiaTheme="majorEastAsia" w:hAnsi="Arial" w:cstheme="majorBidi"/>
      <w:b/>
      <w:szCs w:val="26"/>
    </w:rPr>
  </w:style>
  <w:style w:type="paragraph" w:styleId="Titel">
    <w:name w:val="Title"/>
    <w:basedOn w:val="Standard"/>
    <w:next w:val="Standard"/>
    <w:link w:val="TitelZchn"/>
    <w:uiPriority w:val="10"/>
    <w:qFormat/>
    <w:rsid w:val="00202D5E"/>
    <w:pPr>
      <w:spacing w:before="240" w:after="480" w:line="240" w:lineRule="auto"/>
      <w:jc w:val="center"/>
    </w:pPr>
    <w:rPr>
      <w:rFonts w:eastAsiaTheme="majorEastAsia" w:cstheme="majorBidi"/>
      <w:b/>
      <w:spacing w:val="5"/>
      <w:kern w:val="28"/>
      <w:sz w:val="32"/>
      <w:szCs w:val="52"/>
    </w:rPr>
  </w:style>
  <w:style w:type="character" w:customStyle="1" w:styleId="TitelZchn">
    <w:name w:val="Titel Zchn"/>
    <w:basedOn w:val="Absatz-Standardschriftart"/>
    <w:link w:val="Titel"/>
    <w:uiPriority w:val="10"/>
    <w:rsid w:val="00202D5E"/>
    <w:rPr>
      <w:rFonts w:ascii="Arial" w:eastAsiaTheme="majorEastAsia" w:hAnsi="Arial" w:cstheme="majorBidi"/>
      <w:b/>
      <w:spacing w:val="5"/>
      <w:kern w:val="28"/>
      <w:sz w:val="32"/>
      <w:szCs w:val="52"/>
    </w:rPr>
  </w:style>
  <w:style w:type="character" w:customStyle="1" w:styleId="Hochgestellt">
    <w:name w:val="Hochgestellt"/>
    <w:basedOn w:val="Absatz-Standardschriftart"/>
    <w:rsid w:val="00202D5E"/>
    <w:rPr>
      <w:rFonts w:ascii="Arial" w:hAnsi="Arial"/>
      <w:sz w:val="20"/>
      <w:vertAlign w:val="superscript"/>
    </w:rPr>
  </w:style>
  <w:style w:type="paragraph" w:styleId="Untertitel">
    <w:name w:val="Subtitle"/>
    <w:basedOn w:val="Standard"/>
    <w:next w:val="Standard"/>
    <w:link w:val="UntertitelZchn"/>
    <w:uiPriority w:val="11"/>
    <w:qFormat/>
    <w:rsid w:val="00202D5E"/>
    <w:pPr>
      <w:numPr>
        <w:ilvl w:val="1"/>
      </w:numPr>
      <w:spacing w:before="240" w:after="360"/>
      <w:contextualSpacing/>
      <w:jc w:val="center"/>
    </w:pPr>
    <w:rPr>
      <w:rFonts w:eastAsiaTheme="majorEastAsia" w:cstheme="majorBidi"/>
      <w:b/>
      <w:i/>
      <w:iCs/>
      <w:spacing w:val="15"/>
      <w:sz w:val="24"/>
      <w:szCs w:val="24"/>
    </w:rPr>
  </w:style>
  <w:style w:type="character" w:customStyle="1" w:styleId="UntertitelZchn">
    <w:name w:val="Untertitel Zchn"/>
    <w:basedOn w:val="Absatz-Standardschriftart"/>
    <w:link w:val="Untertitel"/>
    <w:uiPriority w:val="11"/>
    <w:rsid w:val="00202D5E"/>
    <w:rPr>
      <w:rFonts w:ascii="Arial" w:eastAsiaTheme="majorEastAsia" w:hAnsi="Arial" w:cstheme="majorBidi"/>
      <w:b/>
      <w:i/>
      <w:iCs/>
      <w:spacing w:val="15"/>
      <w:sz w:val="24"/>
      <w:szCs w:val="24"/>
    </w:rPr>
  </w:style>
  <w:style w:type="paragraph" w:styleId="Funotentext">
    <w:name w:val="footnote text"/>
    <w:basedOn w:val="Standard"/>
    <w:link w:val="FunotentextZchn"/>
    <w:uiPriority w:val="99"/>
    <w:semiHidden/>
    <w:unhideWhenUsed/>
    <w:rsid w:val="00202D5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02D5E"/>
    <w:rPr>
      <w:rFonts w:ascii="Arial" w:hAnsi="Arial"/>
      <w:sz w:val="20"/>
      <w:szCs w:val="20"/>
    </w:rPr>
  </w:style>
  <w:style w:type="character" w:styleId="Funotenzeichen">
    <w:name w:val="footnote reference"/>
    <w:basedOn w:val="Absatz-Standardschriftart"/>
    <w:uiPriority w:val="99"/>
    <w:semiHidden/>
    <w:unhideWhenUsed/>
    <w:rsid w:val="00202D5E"/>
    <w:rPr>
      <w:vertAlign w:val="superscript"/>
    </w:rPr>
  </w:style>
  <w:style w:type="paragraph" w:styleId="Endnotentext">
    <w:name w:val="endnote text"/>
    <w:basedOn w:val="Standard"/>
    <w:link w:val="EndnotentextZchn"/>
    <w:uiPriority w:val="99"/>
    <w:semiHidden/>
    <w:unhideWhenUsed/>
    <w:rsid w:val="00202D5E"/>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202D5E"/>
    <w:rPr>
      <w:rFonts w:ascii="Arial" w:hAnsi="Arial"/>
      <w:sz w:val="20"/>
      <w:szCs w:val="20"/>
    </w:rPr>
  </w:style>
  <w:style w:type="character" w:styleId="Endnotenzeichen">
    <w:name w:val="endnote reference"/>
    <w:basedOn w:val="Absatz-Standardschriftart"/>
    <w:uiPriority w:val="99"/>
    <w:semiHidden/>
    <w:unhideWhenUsed/>
    <w:rsid w:val="00202D5E"/>
    <w:rPr>
      <w:vertAlign w:val="superscript"/>
    </w:rPr>
  </w:style>
  <w:style w:type="character" w:customStyle="1" w:styleId="berschrift1Zchn">
    <w:name w:val="Überschrift 1 Zchn"/>
    <w:basedOn w:val="Absatz-Standardschriftart"/>
    <w:link w:val="berschrift1"/>
    <w:uiPriority w:val="9"/>
    <w:rsid w:val="00AD6866"/>
    <w:rPr>
      <w:rFonts w:ascii="Arial" w:eastAsiaTheme="majorEastAsia" w:hAnsi="Arial" w:cstheme="majorBidi"/>
      <w:b/>
      <w:bCs/>
      <w:szCs w:val="28"/>
    </w:rPr>
  </w:style>
  <w:style w:type="paragraph" w:customStyle="1" w:styleId="Artikel">
    <w:name w:val="Artikel"/>
    <w:basedOn w:val="Standard"/>
    <w:next w:val="Standard"/>
    <w:qFormat/>
    <w:rsid w:val="00602E9D"/>
    <w:pPr>
      <w:spacing w:before="360" w:after="120"/>
      <w:ind w:left="851" w:hanging="851"/>
    </w:pPr>
    <w:rPr>
      <w:b/>
    </w:rPr>
  </w:style>
  <w:style w:type="paragraph" w:customStyle="1" w:styleId="AufzhlungStriche">
    <w:name w:val="Aufzählung Striche"/>
    <w:basedOn w:val="Standard"/>
    <w:qFormat/>
    <w:rsid w:val="002B2957"/>
    <w:pPr>
      <w:numPr>
        <w:numId w:val="3"/>
      </w:numPr>
      <w:tabs>
        <w:tab w:val="left" w:pos="3969"/>
      </w:tabs>
      <w:ind w:left="851" w:hanging="397"/>
    </w:pPr>
  </w:style>
  <w:style w:type="paragraph" w:customStyle="1" w:styleId="StandardmitEinzug">
    <w:name w:val="Standard mit Einzug"/>
    <w:basedOn w:val="Standard"/>
    <w:next w:val="Standard"/>
    <w:rsid w:val="00AD6866"/>
    <w:pPr>
      <w:ind w:left="397"/>
    </w:pPr>
    <w:rPr>
      <w:rFonts w:eastAsia="Times New Roman" w:cs="Times New Roman"/>
      <w:szCs w:val="20"/>
    </w:rPr>
  </w:style>
  <w:style w:type="character" w:customStyle="1" w:styleId="FormatvorlageKursiv">
    <w:name w:val="Formatvorlage Kursiv"/>
    <w:basedOn w:val="Absatz-Standardschriftart"/>
    <w:rsid w:val="00602E9D"/>
    <w:rPr>
      <w:rFonts w:ascii="Arial" w:hAnsi="Arial"/>
      <w:i/>
      <w:iCs/>
      <w:sz w:val="22"/>
    </w:rPr>
  </w:style>
  <w:style w:type="character" w:styleId="Fett">
    <w:name w:val="Strong"/>
    <w:basedOn w:val="Absatz-Standardschriftart"/>
    <w:uiPriority w:val="22"/>
    <w:qFormat/>
    <w:rsid w:val="00602E9D"/>
    <w:rPr>
      <w:b/>
      <w:bCs/>
    </w:rPr>
  </w:style>
  <w:style w:type="paragraph" w:styleId="Kopfzeile">
    <w:name w:val="header"/>
    <w:basedOn w:val="Standard"/>
    <w:link w:val="KopfzeileZchn"/>
    <w:uiPriority w:val="99"/>
    <w:unhideWhenUsed/>
    <w:rsid w:val="00AA46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A4694"/>
    <w:rPr>
      <w:rFonts w:ascii="Arial" w:hAnsi="Arial"/>
    </w:rPr>
  </w:style>
  <w:style w:type="paragraph" w:styleId="Fuzeile">
    <w:name w:val="footer"/>
    <w:basedOn w:val="Standard"/>
    <w:link w:val="FuzeileZchn"/>
    <w:uiPriority w:val="99"/>
    <w:unhideWhenUsed/>
    <w:rsid w:val="00AA46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469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B9A4BAD06C92748B2C8CA92399C5FA3" ma:contentTypeVersion="19" ma:contentTypeDescription="Ein neues Dokument erstellen." ma:contentTypeScope="" ma:versionID="c537bb793cc754175739f95182e760bb">
  <xsd:schema xmlns:xsd="http://www.w3.org/2001/XMLSchema" xmlns:xs="http://www.w3.org/2001/XMLSchema" xmlns:p="http://schemas.microsoft.com/office/2006/metadata/properties" xmlns:ns1="http://schemas.microsoft.com/sharepoint/v3" xmlns:ns2="aaa33bb4-a131-48f4-9bc1-82a00e57a64a" xmlns:ns4="47d2a402-d77b-4bbf-8606-249d8b7d3cfc" targetNamespace="http://schemas.microsoft.com/office/2006/metadata/properties" ma:root="true" ma:fieldsID="b9049b8d6af9ed176373af095fb0f860" ns1:_="" ns2:_="" ns4:_="">
    <xsd:import namespace="http://schemas.microsoft.com/sharepoint/v3"/>
    <xsd:import namespace="aaa33bb4-a131-48f4-9bc1-82a00e57a64a"/>
    <xsd:import namespace="47d2a402-d77b-4bbf-8606-249d8b7d3cfc"/>
    <xsd:element name="properties">
      <xsd:complexType>
        <xsd:sequence>
          <xsd:element name="documentManagement">
            <xsd:complexType>
              <xsd:all>
                <xsd:element ref="ns2:Kurzform" minOccurs="0"/>
                <xsd:element ref="ns2:Numero" minOccurs="0"/>
                <xsd:element ref="ns2:Dokumentart" minOccurs="0"/>
                <xsd:element ref="ns4:DateString" minOccurs="0"/>
                <xsd:element ref="ns1:Language" minOccurs="0"/>
                <xsd:element ref="ns1:CustomerID" minOccurs="0"/>
                <xsd:element ref="ns2:Schluesselwort" minOccurs="0"/>
                <xsd:element ref="ns2:Zielgruppe" minOccurs="0"/>
                <xsd:element ref="ns2:ExemplarWeitere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7" nillable="true" ma:displayName="Sprache" ma:internalName="Language">
      <xsd:complexType>
        <xsd:complexContent>
          <xsd:extension base="dms:MultiChoice">
            <xsd:sequence>
              <xsd:element name="Value" maxOccurs="unbounded" minOccurs="0" nillable="true">
                <xsd:simpleType>
                  <xsd:restriction base="dms:Choice">
                    <xsd:enumeration value="DE"/>
                    <xsd:enumeration value="IT"/>
                    <xsd:enumeration value="RM"/>
                    <xsd:enumeration value="EN"/>
                  </xsd:restriction>
                </xsd:simpleType>
              </xsd:element>
            </xsd:sequence>
          </xsd:extension>
        </xsd:complexContent>
      </xsd:complexType>
    </xsd:element>
    <xsd:element name="CustomerID" ma:index="8" nillable="true" ma:displayName="Benutzerdefinierte ID" ma:description="" ma:internalName="Custom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a33bb4-a131-48f4-9bc1-82a00e57a64a" elementFormDefault="qualified">
    <xsd:import namespace="http://schemas.microsoft.com/office/2006/documentManagement/types"/>
    <xsd:import namespace="http://schemas.microsoft.com/office/infopath/2007/PartnerControls"/>
    <xsd:element name="Kurzform" ma:index="2" nillable="true" ma:displayName="Kurzform" ma:description="Kurzform zur Dokumentidentifikation" ma:internalName="Kurzform">
      <xsd:simpleType>
        <xsd:restriction base="dms:Text">
          <xsd:maxLength value="100"/>
        </xsd:restriction>
      </xsd:simpleType>
    </xsd:element>
    <xsd:element name="Numero" ma:index="3" nillable="true" ma:displayName="Numero" ma:internalName="Numero">
      <xsd:simpleType>
        <xsd:restriction base="dms:Text">
          <xsd:maxLength value="100"/>
        </xsd:restriction>
      </xsd:simpleType>
    </xsd:element>
    <xsd:element name="Dokumentart" ma:index="5" nillable="true" ma:displayName="Dokumentart" ma:internalName="Dokumentart">
      <xsd:complexType>
        <xsd:complexContent>
          <xsd:extension base="dms:MultiChoice">
            <xsd:sequence>
              <xsd:element name="Value" maxOccurs="unbounded" minOccurs="0" nillable="true">
                <xsd:simpleType>
                  <xsd:restriction base="dms:Choice">
                    <xsd:enumeration value="Vollzugshilfe"/>
                    <xsd:enumeration value="Merkblatt"/>
                    <xsd:enumeration value="Weisung"/>
                    <xsd:enumeration value="Formular"/>
                    <xsd:enumeration value="Publikation"/>
                    <xsd:enumeration value="Medienmitteilung"/>
                    <xsd:enumeration value="Temporäre Dokumente"/>
                    <xsd:enumeration value="anderes!"/>
                  </xsd:restriction>
                </xsd:simpleType>
              </xsd:element>
            </xsd:sequence>
          </xsd:extension>
        </xsd:complexContent>
      </xsd:complexType>
    </xsd:element>
    <xsd:element name="Schluesselwort" ma:index="16" nillable="true" ma:displayName="Schluesselwort" ma:internalName="Schluesselwort">
      <xsd:simpleType>
        <xsd:restriction base="dms:Text">
          <xsd:maxLength value="255"/>
        </xsd:restriction>
      </xsd:simpleType>
    </xsd:element>
    <xsd:element name="Zielgruppe" ma:index="17" nillable="true" ma:displayName="Zielgruppe" ma:internalName="Zielgruppe">
      <xsd:complexType>
        <xsd:complexContent>
          <xsd:extension base="dms:MultiChoice">
            <xsd:sequence>
              <xsd:element name="Value" maxOccurs="unbounded" minOccurs="0" nillable="true">
                <xsd:simpleType>
                  <xsd:restriction base="dms:Choice">
                    <xsd:enumeration value="Zielgruppe 1"/>
                    <xsd:enumeration value="Zielgruppe 2"/>
                  </xsd:restriction>
                </xsd:simpleType>
              </xsd:element>
            </xsd:sequence>
          </xsd:extension>
        </xsd:complexContent>
      </xsd:complexType>
    </xsd:element>
    <xsd:element name="ExemplarWeiteres" ma:index="19" nillable="true" ma:displayName="Weiteres" ma:internalName="ExemplarWeiter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2a402-d77b-4bbf-8606-249d8b7d3cfc" elementFormDefault="qualified">
    <xsd:import namespace="http://schemas.microsoft.com/office/2006/documentManagement/types"/>
    <xsd:import namespace="http://schemas.microsoft.com/office/infopath/2007/PartnerControls"/>
    <xsd:element name="DateString" ma:index="6" nillable="true" ma:displayName="Datum" ma:description="Verweisdatum (s.a. im Dokument)" ma:format="DateOnly" ma:internalName="DateString">
      <xsd:simpleType>
        <xsd:restriction base="dms:DateTime"/>
      </xsd:simple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haltstyp"/>
        <xsd:element ref="dc:title" minOccurs="0" maxOccurs="1" ma:index="1" ma:displayName="Titel"/>
        <xsd:element ref="dc:subject" minOccurs="0" maxOccurs="1"/>
        <xsd:element ref="dc:description" minOccurs="0" maxOccurs="1" ma:index="9" ma:displayName="Kommentare"/>
        <xsd:element name="keywords" minOccurs="0" maxOccurs="1" type="xsd:string"/>
        <xsd:element ref="dc:language" minOccurs="0" maxOccurs="1"/>
        <xsd:element name="category" minOccurs="0" maxOccurs="1" type="xsd:string" ma:index="4"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
      <Value>IT</Value>
    </Language>
    <DateString xmlns="47d2a402-d77b-4bbf-8606-249d8b7d3cfc">2018-06-17T22:00:00+00:00</DateString>
    <Dokumentart xmlns="aaa33bb4-a131-48f4-9bc1-82a00e57a64a">
      <Value>anderes!</Value>
    </Dokumentart>
    <Numero xmlns="aaa33bb4-a131-48f4-9bc1-82a00e57a64a" xsi:nil="true"/>
    <Kurzform xmlns="aaa33bb4-a131-48f4-9bc1-82a00e57a64a">ANU-406-12i</Kurzform>
    <CustomerID xmlns="http://schemas.microsoft.com/sharepoint/v3">ANU-406-12i</CustomerID>
    <Zielgruppe xmlns="aaa33bb4-a131-48f4-9bc1-82a00e57a64a"/>
    <Schluesselwort xmlns="aaa33bb4-a131-48f4-9bc1-82a00e57a64a" xsi:nil="true"/>
    <ExemplarWeiteres xmlns="aaa33bb4-a131-48f4-9bc1-82a00e57a64a" xsi:nil="true"/>
  </documentManagement>
</p:properties>
</file>

<file path=customXml/itemProps1.xml><?xml version="1.0" encoding="utf-8"?>
<ds:datastoreItem xmlns:ds="http://schemas.openxmlformats.org/officeDocument/2006/customXml" ds:itemID="{21672DAA-0D3B-4F68-BD97-0BC66822292F}"/>
</file>

<file path=customXml/itemProps2.xml><?xml version="1.0" encoding="utf-8"?>
<ds:datastoreItem xmlns:ds="http://schemas.openxmlformats.org/officeDocument/2006/customXml" ds:itemID="{CF8F399A-41D7-402A-8CEB-BB3E59191FFD}"/>
</file>

<file path=customXml/itemProps3.xml><?xml version="1.0" encoding="utf-8"?>
<ds:datastoreItem xmlns:ds="http://schemas.openxmlformats.org/officeDocument/2006/customXml" ds:itemID="{C96C0FDC-E793-41D3-9C3D-6171C80834E5}"/>
</file>

<file path=customXml/itemProps4.xml><?xml version="1.0" encoding="utf-8"?>
<ds:datastoreItem xmlns:ds="http://schemas.openxmlformats.org/officeDocument/2006/customXml" ds:itemID="{C3B7ED5C-DB63-4196-AE61-D5A504277DC2}"/>
</file>

<file path=docProps/app.xml><?xml version="1.0" encoding="utf-8"?>
<Properties xmlns="http://schemas.openxmlformats.org/officeDocument/2006/extended-properties" xmlns:vt="http://schemas.openxmlformats.org/officeDocument/2006/docPropsVTypes">
  <Template>D847BD41.dotm</Template>
  <TotalTime>0</TotalTime>
  <Pages>13</Pages>
  <Words>3232</Words>
  <Characters>20364</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
    </vt:vector>
  </TitlesOfParts>
  <Company>Kantonale Verwaltung Graubünden</Company>
  <LinksUpToDate>false</LinksUpToDate>
  <CharactersWithSpaces>23549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regolamento delle zone di protezione, versione 1.1</dc:title>
  <dc:creator>Schneller Alessandra</dc:creator>
  <dc:description/>
  <cp:lastModifiedBy>Schneller Alessandra</cp:lastModifiedBy>
  <cp:revision>5</cp:revision>
  <dcterms:created xsi:type="dcterms:W3CDTF">2018-09-14T12:01:00Z</dcterms:created>
  <dcterms:modified xsi:type="dcterms:W3CDTF">2018-10-12T08:49:00Z</dcterms:modified>
  <cp:category>TP_Wasser_Ausscheidung_Home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0x0101003B9A4BAD06C92748B2C8CA92399C5FA3</vt:lpwstr>
  </property>
</Properties>
</file>